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Dividends to stockholders</w:t>
      </w:r>
    </w:p>
    <w:p>
      <w:pPr>
        <w:jc w:val="both"/>
        <w:spacing w:before="100" w:after="0"/>
        <w:ind w:start="360"/>
        <w:ind w:firstLine="360"/>
      </w:pPr>
      <w:r>
        <w:rPr>
          <w:b/>
        </w:rPr>
        <w:t>1</w:t>
        <w:t xml:space="preserve">.  </w:t>
      </w:r>
      <w:r>
        <w:rPr>
          <w:b/>
        </w:rPr>
      </w:r>
      <w:r>
        <w:t xml:space="preserve"> </w:t>
      </w:r>
      <w:r>
        <w:t xml:space="preserve">A domestic stock insurer shall not pay any cash dividend to stockholders except out of that part of its available and accumulated surplus funds which is derived from realized net operating profits on its business and net realized capital gains.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cash dividend otherwise lawful may be payable out of the insurer's earned surplus even though its total surplus is then less than the aggregate of its past contributed or paid-in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stock dividend may be paid out of any available surplus funds, other than "surplus" resulting from borrowed capital funds such as provided for under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Dividends to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§3416. DIVIDENDS TO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