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3557</w:t>
        <w:t xml:space="preserve">.  </w:t>
      </w:r>
      <w:r>
        <w:rPr>
          <w:b/>
        </w:rPr>
        <w:t xml:space="preserve">Governor's authority; effect of other laws</w:t>
      </w:r>
    </w:p>
    <w:p>
      <w:pPr>
        <w:jc w:val="both"/>
        <w:spacing w:before="100" w:after="100"/>
        <w:ind w:start="360"/>
        <w:ind w:firstLine="360"/>
      </w:pPr>
      <w:r>
        <w:rPr/>
      </w:r>
      <w:r>
        <w:rPr/>
      </w:r>
      <w:r>
        <w:t xml:space="preserve">The Governor of this State, or the Governor's successor in office, alone has the power to proclaim and declare the fact that a period of "acute emergency" exists at any time or times or has terminated, as such term is defined in this chapter.  This chapter may not be construed to affect </w:t>
      </w:r>
      <w:r>
        <w:t>sections 471</w:t>
      </w:r>
      <w:r>
        <w:t xml:space="preserve"> to </w:t>
      </w:r>
      <w:r>
        <w:t>479</w:t>
      </w:r>
      <w:r>
        <w:t xml:space="preserve">, to the extent that the latter sections may be inconsistent herewith.</w:t>
      </w:r>
      <w:r>
        <w:t xml:space="preserve">  </w:t>
      </w:r>
      <w:r xmlns:wp="http://schemas.openxmlformats.org/drawingml/2010/wordprocessingDrawing" xmlns:w15="http://schemas.microsoft.com/office/word/2012/wordml">
        <w:rPr>
          <w:rFonts w:ascii="Arial" w:hAnsi="Arial" w:cs="Arial"/>
          <w:sz w:val="22"/>
          <w:szCs w:val="22"/>
        </w:rPr>
        <w:t xml:space="preserve">[RR 2021, c. 1, Pt. B, §308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§3557. Governor's authority;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§3557. Governor's authority;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§3557. GOVERNOR'S AUTHORITY;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