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Scope of chapter -- existing insurers</w:t>
      </w:r>
    </w:p>
    <w:p>
      <w:pPr>
        <w:jc w:val="both"/>
        <w:spacing w:before="100" w:after="0"/>
        <w:ind w:start="360"/>
        <w:ind w:firstLine="360"/>
      </w:pPr>
      <w:r>
        <w:rPr>
          <w:b/>
        </w:rPr>
        <w:t>1</w:t>
        <w:t xml:space="preserve">.  </w:t>
      </w:r>
      <w:r>
        <w:rPr>
          <w:b/>
        </w:rPr>
      </w:r>
      <w:r>
        <w:t xml:space="preserve"> </w:t>
      </w:r>
      <w:r>
        <w:t xml:space="preserve">All authorized reciprocal insurers shall be governed by those sections of this chapter not expressly made applicable to domestic reciprocals.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Existing authorized reciprocal insurers shall after January 1, 1970 comply with this chapter, and shall make such amendments to their subscribers' agreement, power of attorney, policies and other documents and accounts and perform such other acts as may be required for such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§3852. SCOPE OF CHAPTER --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