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3854</w:t>
        <w:t xml:space="preserve">.  </w:t>
      </w:r>
      <w:r>
        <w:rPr>
          <w:b/>
        </w:rPr>
        <w:t xml:space="preserve">Name; suits</w:t>
      </w:r>
    </w:p>
    <w:p>
      <w:pPr>
        <w:jc w:val="both"/>
        <w:spacing w:before="100" w:after="100"/>
        <w:ind w:start="360"/>
        <w:ind w:firstLine="360"/>
      </w:pPr>
      <w:r>
        <w:rPr/>
      </w:r>
      <w:r>
        <w:rPr/>
      </w:r>
      <w:r>
        <w:t xml:space="preserve">A reciprocal insurer shall:</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Have and use a business name.  The name shall include the word "reciprocal," or "interinsurer," or "interinsurance," or "exchange," or "underwriters," or "underwriting" or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Sue and be sued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§3854. Name; suits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§3854. Name; suits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§3854. NAME; SUITS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