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3869</w:t>
        <w:t xml:space="preserve">.  </w:t>
      </w:r>
      <w:r>
        <w:rPr>
          <w:b/>
        </w:rPr>
        <w:t xml:space="preserve">Subscribers' liability on judgment</w:t>
      </w:r>
    </w:p>
    <w:p>
      <w:pPr>
        <w:jc w:val="both"/>
        <w:spacing w:before="100" w:after="0"/>
        <w:ind w:start="360"/>
        <w:ind w:firstLine="360"/>
      </w:pPr>
      <w:r>
        <w:rPr>
          <w:b/>
        </w:rPr>
        <w:t>1</w:t>
        <w:t xml:space="preserve">.  </w:t>
      </w:r>
      <w:r>
        <w:rPr>
          <w:b/>
        </w:rPr>
      </w:r>
      <w:r>
        <w:t xml:space="preserve"> </w:t>
      </w:r>
      <w:r>
        <w:t xml:space="preserve">No action shall lie against any subscriber upon any obligation claimed against the insurer until a final judgment has been obtained against the insurer and remains unsatisfied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such judgment is binding upon each subscriber only in such proportion as the subscriber's interests may appear and in amount not exceeding the subscriber's contingent liability,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§3869. Subscribers' liability on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§3869. Subscribers' liability on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§3869. SUBSCRIBERS' LIABILITY ON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