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§3955. DUTIES AND POWERS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