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§3957. ASSESSMENTS AGAINST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