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3960</w:t>
        <w:t xml:space="preserve">.  </w:t>
      </w:r>
      <w:r>
        <w:rPr>
          <w:b/>
        </w:rPr>
        <w:t xml:space="preserve">Actions against association or insurers based upon joint or collective actions</w:t>
      </w:r>
    </w:p>
    <w:p>
      <w:pPr>
        <w:jc w:val="both"/>
        <w:spacing w:before="100" w:after="100"/>
        <w:ind w:start="360"/>
        <w:ind w:firstLine="360"/>
      </w:pPr>
      <w:r>
        <w:rPr/>
      </w:r>
      <w:r>
        <w:rPr/>
      </w:r>
      <w:r>
        <w:t xml:space="preserve">Participation in the association, the establishment of reinsurance rates, forms or procedures or any other joint or collective action required by this chapter may not be the basis of any legal action or criminal or civil liability or penalty against the association or an insurer.</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§3960. Actions against association or insurers based upon joint or collective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§3960. Actions against association or insurers based upon joint or collective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§3960. ACTIONS AGAINST ASSOCIATION OR INSURERS BASED UPON JOINT OR COLLECTIVE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