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State-federal health coverage partnerships involving the association</w:t>
      </w:r>
    </w:p>
    <w:p>
      <w:pPr>
        <w:jc w:val="both"/>
        <w:spacing w:before="100" w:after="0"/>
        <w:ind w:start="360"/>
        <w:ind w:firstLine="360"/>
      </w:pPr>
      <w:r>
        <w:rPr>
          <w:b/>
        </w:rPr>
        <w:t>1</w:t>
        <w:t xml:space="preserve">.  </w:t>
      </w:r>
      <w:r>
        <w:rPr>
          <w:b/>
        </w:rPr>
        <w:t xml:space="preserve">Consultation with board.</w:t>
        <w:t xml:space="preserve"> </w:t>
      </w:r>
      <w:r>
        <w:t xml:space="preserve"> </w:t>
      </w:r>
      <w:r>
        <w:t xml:space="preserve">The superintendent shall consult with the board before developing any proposal to apply for a state-federal health coverage partnership as defined in </w:t>
      </w:r>
      <w:r>
        <w:t>section 2781, subsection 1</w:t>
      </w:r>
      <w:r>
        <w:t xml:space="preserve"> or to modify the terms of an existing state-federal health coverage partnership involving federal funding for the association or otherwise significantly affecting the operations of the association.  The superintendent shall give prompt notice to the board if the superintendent becomes aware of a new federal program or material changes to an existing program with the potential for a significant effect on the operations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§3963. State-federal health coverage partnerships involving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State-federal health coverage partnerships involving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§3963. STATE-FEDERAL HEALTH COVERAGE PARTNERSHIPS INVOLVING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