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4141</w:t>
        <w:t xml:space="preserve">.  </w:t>
      </w:r>
      <w:r>
        <w:rPr>
          <w:b/>
        </w:rPr>
        <w:t xml:space="preserve">Exemptions</w:t>
      </w:r>
    </w:p>
    <w:p>
      <w:pPr>
        <w:jc w:val="both"/>
        <w:spacing w:before="100" w:after="100"/>
        <w:ind w:start="360"/>
        <w:ind w:firstLine="360"/>
      </w:pPr>
      <w:r>
        <w:rPr/>
      </w:r>
      <w:r>
        <w:rPr/>
      </w:r>
      <w:r>
        <w:t xml:space="preserve">Except as herein provided, societies shall be governed by this chapter and shall be exempt from all other provisions of the insurance laws of this State, not only in governmental relations with the state, but for every other purpose. No law hereafter enacted shall apply to them, unless they be expressly designated therein.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§4141.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§4141.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§4141.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