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Governing body</w:t>
      </w:r>
    </w:p>
    <w:p>
      <w:pPr>
        <w:jc w:val="both"/>
        <w:spacing w:before="100" w:after="0"/>
        <w:ind w:start="360"/>
        <w:ind w:firstLine="360"/>
      </w:pPr>
      <w:r>
        <w:rPr>
          <w:b/>
        </w:rPr>
        <w:t>1</w:t>
        <w:t xml:space="preserve">.  </w:t>
      </w:r>
      <w:r>
        <w:rPr>
          <w:b/>
        </w:rPr>
      </w:r>
      <w:r>
        <w:t xml:space="preserve"> </w:t>
      </w:r>
      <w:r>
        <w:t xml:space="preserve">The governing body of any health maintenance organization may include providers, other individuals,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Such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§4206.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§4206.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