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Annual and interim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§4208. ANNUAL AND INTERIM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