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4226</w:t>
        <w:t xml:space="preserve">.  </w:t>
      </w:r>
      <w:r>
        <w:rPr>
          <w:b/>
        </w:rPr>
        <w:t xml:space="preserve">Federal legislation</w:t>
      </w:r>
    </w:p>
    <w:p>
      <w:pPr>
        <w:jc w:val="both"/>
        <w:spacing w:before="100" w:after="100"/>
        <w:ind w:start="360"/>
        <w:ind w:firstLine="360"/>
      </w:pPr>
      <w:r>
        <w:rPr/>
      </w:r>
      <w:r>
        <w:rPr/>
      </w:r>
      <w:r>
        <w:t xml:space="preserve">Nothing in this chapter shall prohibit any health maintenance organization from meeting the requirements of any federal law which would authorize such health maintenance organization to receive federal financial assistance or certification or to enroll beneficiaries assisted by federal funds.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§4226. Federal legislation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§4226. Federal legislation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§4226. FEDERAL LEGISLATION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