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4239</w:t>
        <w:t xml:space="preserve">.  </w:t>
      </w:r>
      <w:r>
        <w:rPr>
          <w:b/>
        </w:rPr>
        <w:t xml:space="preserve">Medical child support</w:t>
      </w:r>
    </w:p>
    <w:p>
      <w:pPr>
        <w:jc w:val="both"/>
        <w:spacing w:before="100" w:after="100"/>
        <w:ind w:start="360"/>
        <w:ind w:firstLine="360"/>
      </w:pPr>
      <w:r>
        <w:rPr/>
      </w:r>
      <w:r>
        <w:rPr/>
      </w:r>
      <w:r>
        <w:t xml:space="preserve">A health maintenance organization must comply with 42 United States Code, Section 1396g‑1.</w:t>
      </w:r>
      <w:r>
        <w:t xml:space="preserve">  </w:t>
      </w:r>
      <w:r xmlns:wp="http://schemas.openxmlformats.org/drawingml/2010/wordprocessingDrawing" xmlns:w15="http://schemas.microsoft.com/office/word/2012/wordml">
        <w:rPr>
          <w:rFonts w:ascii="Arial" w:hAnsi="Arial" w:cs="Arial"/>
          <w:sz w:val="22"/>
          <w:szCs w:val="22"/>
        </w:rPr>
        <w:t xml:space="preserve">[PL 1995, c. 418,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§21 (RNU). PL 1995, c. 418, §C4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§4239. Medical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§4239. Medical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§4239. MEDICAL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