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4258</w:t>
        <w:t xml:space="preserve">.  </w:t>
      </w:r>
      <w:r>
        <w:rPr>
          <w:b/>
        </w:rPr>
        <w:t xml:space="preserve">Coverage for children's early intervention services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pPr>
      <w:r>
        <w:rPr>
          <w:b w:val="true"/>
          <w:i/>
          <w:caps w:val="true"/>
        </w:rPr>
        <w:t xml:space="preserve">Revisor's Note: </w:t>
      </w:r>
      <w:r>
        <w:t>§4258.  Coverage for the diagnosis and treatment of autism spectrum disorders (As enacted by PL 2009, c. 635, §4; §6 is REALLOCATED TO TITLE 24-A, SECTION 4259)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 PL 2009, c. 635, §4 (NEW). PL 2009, c. 635, §6 (AFF). PL 2011, c. 420, Pt. A, §27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§4258. Coverage for children's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§4258. Coverage for children's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§4258. COVERAGE FOR CHILDREN'S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