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4320-B</w:t>
        <w:t xml:space="preserve">.  </w:t>
      </w:r>
      <w:r>
        <w:rPr>
          <w:b/>
        </w:rPr>
        <w:t xml:space="preserve">Extension of dependent coverage</w:t>
      </w:r>
    </w:p>
    <w:p>
      <w:pPr>
        <w:jc w:val="both"/>
        <w:spacing w:before="100" w:after="100"/>
        <w:ind w:start="360"/>
        <w:ind w:firstLine="360"/>
      </w:pPr>
      <w:r>
        <w:rPr/>
      </w:r>
      <w:r>
        <w:rPr/>
      </w:r>
      <w:r>
        <w:t xml:space="preserve">A carrier offering a health plan subject to the requirements of the federal Affordable Care Act that provides dependent coverage of children shall continue to make such coverage available for an adult child until the child turns 26 years of age, consistent with the federal Affordable Care Act, and offer coverage for a dependent child with a disability in accordance with </w:t>
      </w:r>
      <w:r>
        <w:t>section 4320‑R</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 PL 2021, c. 520,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§4320-B. Extension of dependent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§4320-B. Extension of dependent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§4320-B. EXTENSION OF DEPENDENT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