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4320-I</w:t>
        <w:t xml:space="preserve">.  </w:t>
      </w:r>
      <w:r>
        <w:rPr>
          <w:b/>
        </w:rPr>
        <w:t xml:space="preserve">Coverage for the cost of testing for bone marrow donation suitability</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laboratory fees up to $150 arising from human leukocyte antigen testing performed to establish bone marrow transplantation suitability in accordance with the following requirements:</w:t>
      </w:r>
    </w:p>
    <w:p>
      <w:pPr>
        <w:jc w:val="both"/>
        <w:spacing w:before="100" w:after="0"/>
        <w:ind w:start="720"/>
      </w:pPr>
      <w:r>
        <w:rPr/>
        <w:t>A</w:t>
        <w:t xml:space="preserve">.  </w:t>
      </w:r>
      <w:r>
        <w:rPr/>
      </w:r>
      <w:r>
        <w:t xml:space="preserve">The enrollee covered under the health plan must meet the criteria for testing established by the National Marrow Donor Program,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B</w:t>
        <w:t xml:space="preserve">.  </w:t>
      </w:r>
      <w:r>
        <w:rPr/>
      </w:r>
      <w:r>
        <w:t xml:space="preserve">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263a;</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C</w:t>
        <w:t xml:space="preserve">.  </w:t>
      </w:r>
      <w:r>
        <w:rPr/>
      </w:r>
      <w:r>
        <w:t xml:space="preserve">At the time of the testing, the enrollee covered under the health plan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D</w:t>
        <w:t xml:space="preserve">.  </w:t>
      </w:r>
      <w:r>
        <w:rPr/>
      </w:r>
      <w:r>
        <w:t xml:space="preserve">The carrier may limit each enrollee to one test per lifetime.</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w:t>
      </w:r>
    </w:p>
    <w:p>
      <w:pPr>
        <w:jc w:val="both"/>
        <w:spacing w:before="100" w:after="0"/>
        <w:ind w:start="360"/>
        <w:ind w:firstLine="360"/>
      </w:pPr>
      <w:r>
        <w:rPr>
          <w:b/>
        </w:rPr>
        <w:t>2</w:t>
        <w:t xml:space="preserve">.  </w:t>
      </w:r>
      <w:r>
        <w:rPr>
          <w:b/>
        </w:rPr>
        <w:t xml:space="preserve">Prohibition on cost-sharing.</w:t>
        <w:t xml:space="preserve"> </w:t>
      </w:r>
      <w:r>
        <w:t xml:space="preserve"> </w:t>
      </w:r>
      <w:r>
        <w:t xml:space="preserve">A carrier may not impose any deductible, copayment, coinsurance or other cost-sharing requirement on an enrollee for the coverage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§4320-I. Coverage for the cost of testing for bone marrow donation suitability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§4320-I. Coverage for the cost of testing for bone marrow donation suitability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§4320-I. COVERAGE FOR THE COST OF TESTING FOR BONE MARROW DONATION SUITABILITY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