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4320-J</w:t>
        <w:t xml:space="preserve">.  </w:t>
      </w:r>
      <w:r>
        <w:rPr>
          <w:b/>
        </w:rPr>
        <w:t xml:space="preserve">Coverage for abuse-deterrent opioid analgesic drug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"Abuse-deterrent opioid analgesic drug product" means a brand or generic opioid analgesic drug product approved by the federal Food and Drug Administration with abuse-deterrent labeling claims that indicate the drug product is expected to result in a meaningful reduction in abuse.</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B</w:t>
        <w:t xml:space="preserve">.  </w:t>
      </w:r>
      <w:r>
        <w:rPr/>
      </w:r>
      <w:r>
        <w:t xml:space="preserve">"Cost sharing" means any coverage limit, copayment, coinsurance, deductible or other out-of-pocket expense associated with a health plan.</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C</w:t>
        <w:t xml:space="preserve">.  </w:t>
      </w:r>
      <w:r>
        <w:rPr/>
      </w:r>
      <w:r>
        <w:t xml:space="preserve">"Opioid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w:pPr>
        <w:jc w:val="both"/>
        <w:spacing w:before="100" w:after="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§4320-J. COVERAGE FOR ABUSE-DETERRENT OPIOID ANALGESIC DRUG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