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4320-R</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health plan subject to the requirements of the federal Affordable Care 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carrier within 31 days of the dependent child's attainment of the limiting age established in </w:t>
      </w:r>
      <w:r>
        <w:t>section 4320‑B</w:t>
      </w:r>
      <w:r>
        <w:t xml:space="preserve"> and subsequently as may be required by the carrier, but the carrier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100"/>
        <w:ind w:start="360"/>
      </w:pPr>
      <w:r>
        <w:rPr>
          <w:b w:val="true"/>
          <w:i/>
          <w:caps w:val="true"/>
        </w:rPr>
        <w:t xml:space="preserve">Revisor's Note: </w:t>
      </w:r>
      <w:r>
        <w:t>§4320-R. Implementation of federal mental health parity laws (As enacted by PL 2021, c. 638, §4 is REALLOCATED TO TITLE 24-A, SECTION 4320-T)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§4320-R.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§4320-R.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§4320-R.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