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4320-T</w:t>
        <w:t xml:space="preserve">.  </w:t>
      </w:r>
      <w:r>
        <w:rPr>
          <w:b/>
        </w:rPr>
        <w:t xml:space="preserve">Implementation of federal mental health parity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4/30/28)</w:t>
      </w:r>
    </w:p>
    <w:p>
      <w:pPr>
        <w:jc w:val="both"/>
        <w:spacing w:before="100" w:after="100"/>
        <w:ind w:start="360"/>
      </w:pPr>
      <w:r>
        <w:rPr>
          <w:b/>
        </w:rPr>
        <w:t>(WHOLE SECTION TEXT REPEALED 4/30/28)</w:t>
      </w:r>
    </w:p>
    <w:p>
      <w:pPr>
        <w:jc w:val="both"/>
        <w:spacing w:before="100" w:after="100"/>
        <w:ind w:start="360"/>
      </w:pPr>
      <w:r>
        <w:rPr>
          <w:b/>
        </w:rPr>
        <w:t>(REALLOCATED FROM TITLE 24-A, SECTION 4320-R)</w:t>
      </w:r>
    </w:p>
    <w:p>
      <w:pPr>
        <w:jc w:val="both"/>
        <w:spacing w:before="100" w:after="0"/>
        <w:ind w:start="360"/>
        <w:ind w:firstLine="360"/>
      </w:pPr>
      <w:r>
        <w:rPr>
          <w:b/>
        </w:rPr>
        <w:t>1</w:t>
        <w:t xml:space="preserve">.  </w:t>
      </w:r>
      <w:r>
        <w:rPr>
          <w:b/>
        </w:rPr>
        <w:t xml:space="preserve">Nonquantitative treatment limitation; definition.</w:t>
        <w:t xml:space="preserve"> </w:t>
      </w:r>
      <w:r>
        <w:t xml:space="preserve"> </w:t>
      </w:r>
      <w:r>
        <w:t xml:space="preserve">For the purposes of this section, "nonquantitative treatment limitation" means a limitation that is not expressed numerically but otherwise limits the scope or duration of benefits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2</w:t>
        <w:t xml:space="preserve">.  </w:t>
      </w:r>
      <w:r>
        <w:rPr>
          <w:b/>
        </w:rPr>
        <w:t xml:space="preserve">Compliance with federal mental health parity laws.</w:t>
        <w:t xml:space="preserve"> </w:t>
      </w:r>
      <w:r>
        <w:t xml:space="preserve"> </w:t>
      </w:r>
      <w:r>
        <w:t xml:space="preserve">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3</w:t>
        <w:t xml:space="preserve">.  </w:t>
      </w:r>
      <w:r>
        <w:rPr>
          <w:b/>
        </w:rPr>
        <w:t xml:space="preserve">Implementation of federal mental health parity laws.</w:t>
        <w:t xml:space="preserve"> </w:t>
      </w:r>
      <w:r>
        <w:t xml:space="preserve"> </w:t>
      </w:r>
      <w:r>
        <w:t xml:space="preserve">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by:</w:t>
      </w:r>
    </w:p>
    <w:p>
      <w:pPr>
        <w:jc w:val="both"/>
        <w:spacing w:before="100" w:after="0"/>
        <w:ind w:start="720"/>
      </w:pPr>
      <w:r>
        <w:rPr/>
        <w:t>A</w:t>
        <w:t xml:space="preserve">.  </w:t>
      </w:r>
      <w:r>
        <w:rPr/>
      </w:r>
      <w:r>
        <w:t xml:space="preserve">Proactively ensuring compliance by insurers, health maintenance organizations and nonprofit hospital or medical service organizations that execute, deliver, issue for delivery, continue or renew individual policies or individual and group health care contracts;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Evaluating all consumer or provider complaints regarding mental health and substance use disorder coverage for possible parity violations;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Performing parity compliance market conduct examinations of carriers that execute, deliver, issue for delivery, continue or renew individual policies or individual and group health care contracts, particularly market conduct examinations that focus on nonquantitative treatment limitations, including, but not limited to, prior authorization, concurrent review, retrospective review, step therapy, network admission standards, reimbursement rates and geographic restrictions;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D</w:t>
        <w:t xml:space="preserve">.  </w:t>
      </w:r>
      <w:r>
        <w:rPr/>
      </w:r>
      <w:r>
        <w:t xml:space="preserve">Requesting that carriers submit comparative analyses during the form review process demonstrating how they design and apply nonquantitative treatment limitation, both as written and in operation, for mental health and substance use disorder benefits as compared to how they design and apply nonquantitative treatment limitation, as written and in operation,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The superintendent may adopt rules, as authorized under section 212, as may be necessary to effectuate any provisions of the federal Paul Wellstone and Pete Domenici Mental Health Parity and Addiction Equity Act of 2008 that relate to the business of insurance.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4</w:t>
        <w:t xml:space="preserve">.  </w:t>
      </w:r>
      <w:r>
        <w:rPr>
          <w:b/>
        </w:rPr>
        <w:t xml:space="preserve">Reports to superintendent.</w:t>
        <w:t xml:space="preserve"> </w:t>
      </w:r>
      <w:r>
        <w:t xml:space="preserve"> </w:t>
      </w:r>
      <w:r>
        <w:t xml:space="preserve">As part of the report submitted to the superintendent, and subsequently reported by the superintendent to the Legislature, pursuant to section 2749‑C, subsection 4, section 2843, subsection 7, section 4234‑A, subsection 10 and Title 24, section 2325‑A, subsection 8, a carrier shall submit the following information to the superintendent:</w:t>
      </w:r>
    </w:p>
    <w:p>
      <w:pPr>
        <w:jc w:val="both"/>
        <w:spacing w:before="100" w:after="0"/>
        <w:ind w:start="720"/>
      </w:pPr>
      <w:r>
        <w:rPr/>
        <w:t>A</w:t>
        <w:t xml:space="preserve">.  </w:t>
      </w:r>
      <w:r>
        <w:rPr/>
      </w:r>
      <w:r>
        <w:t xml:space="preserve">A description of the process used to develop or select the medically necessary health care criteria for mental health and substance use disorder benefits and the process used to develop or select the medically necessary health care criteria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Identification of all nonquantitative treatment limitations that are applied to mental health and substance use disorder benefits and medical and surgical benefits within each classification of benefits. The report must include information demonstrating that each nonquantitative treatment limitation that applies to mental health and substance use disorder benefits also applies to medical and surgical benefits within any classification of benefits;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The results of an analysis that demonstrate that for the medically necessary health care criteria described in paragraph A and for each nonquantitative treatment limitation identified in paragraph B, as written and in operation, the processes, strategies, evidentiary standards or other factors used in applying the medically necessary health care criteria and each nonquantitative treatment limitation to mental health and substance use disorder benefits within each classification of benefits are comparable to, and are applied no more stringently than, the processes, strategies, evidentiary standards or other factors used in applying the medically necessary health care criteria and each nonquantitative treatment limitation to medical and surgical benefits within the corresponding classification of benefits. At a minimum, the results of the analysis must:</w:t>
      </w:r>
    </w:p>
    <w:p>
      <w:pPr>
        <w:jc w:val="both"/>
        <w:spacing w:before="100" w:after="0"/>
        <w:ind w:start="1080"/>
      </w:pPr>
      <w:r>
        <w:rPr/>
        <w:t>(</w:t>
        <w:t>1</w:t>
        <w:t xml:space="preserve">)  </w:t>
      </w:r>
      <w:r>
        <w:rPr/>
      </w:r>
      <w:r>
        <w:t xml:space="preserve">Identify the factors used to determine that a nonquantitative treatment limitation applies to a benefit, including factors that were considered but rejected;</w:t>
      </w:r>
    </w:p>
    <w:p>
      <w:pPr>
        <w:jc w:val="both"/>
        <w:spacing w:before="100" w:after="0"/>
        <w:ind w:start="1080"/>
      </w:pPr>
      <w:r>
        <w:rPr/>
        <w:t>(</w:t>
        <w:t>2</w:t>
        <w:t xml:space="preserve">)  </w:t>
      </w:r>
      <w:r>
        <w:rPr/>
      </w:r>
      <w:r>
        <w:t xml:space="preserve">Identify and define the specific evidentiary standards used to define the factors and any other evidence relied upon in designing each nonquantitative treatment limitation;</w:t>
      </w:r>
    </w:p>
    <w:p>
      <w:pPr>
        <w:jc w:val="both"/>
        <w:spacing w:before="100" w:after="0"/>
        <w:ind w:start="1080"/>
      </w:pPr>
      <w:r>
        <w:rPr/>
        <w:t>(</w:t>
        <w:t>3</w:t>
        <w:t xml:space="preserve">)  </w:t>
      </w:r>
      <w:r>
        <w:rPr/>
      </w:r>
      <w:r>
        <w:t xml:space="preserve">Identify and describe the comparative analyses, including the results of the analyses, used to determine that the processes and strategies used to design each nonquantitative treatment limitation, as written, for mental health and substance use disorder benefits are comparable to, and are applied no more stringently than, the processes and strategies used to design each nonquantitative treatment limitation, as written, for medical and surgical benefits;</w:t>
      </w:r>
    </w:p>
    <w:p>
      <w:pPr>
        <w:jc w:val="both"/>
        <w:spacing w:before="100" w:after="0"/>
        <w:ind w:start="1080"/>
      </w:pPr>
      <w:r>
        <w:rPr/>
        <w:t>(</w:t>
        <w:t>4</w:t>
        <w:t xml:space="preserve">)  </w:t>
      </w:r>
      <w:r>
        <w:rPr/>
      </w:r>
      <w:r>
        <w:t xml:space="preserve">Identify and describe the comparative analyses, including the results of the analyses, used to determine that the processes and strategies used to apply each nonquantitative treatment limitation, in operation, for mental health and substance use disorder benefits are comparable to, and applied no more stringently than, the processes and strategies used to apply each nonquantitative treatment limitation, in operation, for medical and surgical benefits; and</w:t>
      </w:r>
    </w:p>
    <w:p>
      <w:pPr>
        <w:jc w:val="both"/>
        <w:spacing w:before="100" w:after="0"/>
        <w:ind w:start="1080"/>
      </w:pPr>
      <w:r>
        <w:rPr/>
        <w:t>(</w:t>
        <w:t>5</w:t>
        <w:t xml:space="preserve">)  </w:t>
      </w:r>
      <w:r>
        <w:rPr/>
      </w:r>
      <w:r>
        <w:t xml:space="preserve">Disclose the specific findings and conclusions reached by the insurer that the results of the analyses in this paragraph indicate that the carrier is in compliance with this section and the federal Paul Wellstone and Pete Domenici Mental Health Parity and Addiction Equity Act of 2008 and its implementing and related regulations, including 45 Code of Federal Regulations, Sections 146.136, 147.136, 147.160 and 156.115(a)(3).</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Information submitted by a carrier to the superintendent pursuant to this subsection is public information in accordance with section 216, except for information that a carrier requests be designated as confidential and the superintendent has determined is proprietary information.  For the purposes of this subsection, "proprietary information" means information that is a trade secret or business or financial information the disclosure of which would impair the competitive position of a carrier or that would result in significant detriment to a carrier if the information were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§4320-T. Implementation of federal mental health parity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§4320-T. Implementation of federal mental health parity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§4320-T. IMPLEMENTATION OF FEDERAL MENTAL HEALTH PARITY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