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4338</w:t>
        <w:t xml:space="preserve">.  </w:t>
      </w:r>
      <w:r>
        <w:rPr>
          <w:b/>
        </w:rPr>
        <w:t xml:space="preserve">Downstream risk arrangements that exceed risk threshold described in section 4334</w:t>
      </w:r>
    </w:p>
    <w:p>
      <w:pPr>
        <w:jc w:val="both"/>
        <w:spacing w:before="100" w:after="100"/>
        <w:ind w:start="360"/>
        <w:ind w:firstLine="360"/>
      </w:pPr>
      <w:r>
        <w:rPr/>
      </w:r>
      <w:r>
        <w:rPr/>
      </w:r>
      <w:r>
        <w:t xml:space="preserve">The superintendent may waive downstream risk arrangements from licensure requirements that exceed the risk threshold described in </w:t>
      </w:r>
      <w:r>
        <w:t>section 4334</w:t>
      </w:r>
      <w:r>
        <w:t xml:space="preserve"> if the downstream risk arrangement meets the contractual and disclosure requirements established under </w:t>
      </w:r>
      <w:r>
        <w:t>section 4332</w:t>
      </w:r>
      <w:r>
        <w:t xml:space="preserve"> and the criteria set forth in </w:t>
      </w:r>
      <w:r>
        <w:t>sections 4339</w:t>
      </w:r>
      <w:r>
        <w:t xml:space="preserve"> to </w:t>
      </w:r>
      <w:r>
        <w:t>4342</w:t>
      </w:r>
      <w:r>
        <w:t xml:space="preserve"> and is determined by the superintendent not to prejudice enrollee interests.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§4338. Downstream risk arrangements that exceed risk threshold described in section 4334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§4338. Downstream risk arrangements that exceed risk threshold described in section 4334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§4338. DOWNSTREAM RISK ARRANGEMENTS THAT EXCEED RISK THRESHOLD DESCRIBED IN SECTION 4334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