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4380</w:t>
        <w:t xml:space="preserve">.  </w:t>
      </w:r>
      <w:r>
        <w:rPr>
          <w:b/>
        </w:rPr>
        <w:t xml:space="preserve">Subordination of claims for noncooperation</w:t>
      </w:r>
    </w:p>
    <w:p>
      <w:pPr>
        <w:jc w:val="both"/>
        <w:spacing w:before="100" w:after="100"/>
        <w:ind w:start="360"/>
        <w:ind w:firstLine="360"/>
      </w:pPr>
      <w:r>
        <w:rPr/>
      </w:r>
      <w:r>
        <w:rPr/>
      </w:r>
      <w:r>
        <w:t xml:space="preserve">If an ancillary receiver, by whatever name called, in another state or foreign country fails to transfer to the domiciliary liquidator in this State any assets within the ancillary receiver's control other than special deposits, diminished only by the expenses, if any, of the ancillary receivership, the claims filed in the ancillary receivership, other than special deposit claims or secured claims, must be placed in the class of claims under </w:t>
      </w:r>
      <w:r>
        <w:t>section 4379,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§374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§4380. Subordination of claims for noncooperation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§4380. Subordination of claims for noncooperation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§4380. SUBORDINATION OF CLAIMS FOR NONCOOPERATION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