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4448</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arises against any member insurer, the association or its agents or employees, the board of directors, or the superintendent or the superintendent's representatives for any action taken by them in the performance of their powers and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§390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§4448.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§4448.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§4448.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