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Report to Legislature</w:t>
      </w:r>
    </w:p>
    <w:p>
      <w:pPr>
        <w:jc w:val="both"/>
        <w:spacing w:before="100" w:after="100"/>
        <w:ind w:start="360"/>
        <w:ind w:firstLine="360"/>
      </w:pPr>
      <w:r>
        <w:rPr/>
      </w:r>
      <w:r>
        <w:rPr/>
      </w:r>
      <w:r>
        <w:t xml:space="preserve">At the end of each calendar year, the association shall submit a report of its activities to the joint standing committee of the Legislature having jurisdiction over banking and insurance matters.  The report must include the amount of assessments made against each account, the name of the insolvent insurer to which the assessments are attributable and the amount of funds borrowed, if any, by the association and the repayment date of any loan.</w:t>
      </w:r>
      <w:r>
        <w:t xml:space="preserve">  </w:t>
      </w:r>
      <w:r xmlns:wp="http://schemas.openxmlformats.org/drawingml/2010/wordprocessingDrawing" xmlns:w15="http://schemas.microsoft.com/office/word/2012/wordml">
        <w:rPr>
          <w:rFonts w:ascii="Arial" w:hAnsi="Arial" w:cs="Arial"/>
          <w:sz w:val="22"/>
          <w:szCs w:val="22"/>
        </w:rPr>
        <w:t xml:space="preserve">[PL 1989, c. 751,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§4452.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§4452.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