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5077</w:t>
        <w:t xml:space="preserve">.  </w:t>
      </w:r>
      <w:r>
        <w:rPr>
          <w:b/>
        </w:rPr>
        <w:t xml:space="preserve">Nonforfeiture benefits</w:t>
      </w:r>
    </w:p>
    <w:p>
      <w:pPr>
        <w:jc w:val="both"/>
        <w:spacing w:before="100" w:after="0"/>
        <w:ind w:start="360"/>
        <w:ind w:firstLine="360"/>
      </w:pPr>
      <w:r>
        <w:rPr>
          <w:b/>
        </w:rPr>
        <w:t>1</w:t>
        <w:t xml:space="preserve">.  </w:t>
      </w:r>
      <w:r>
        <w:rPr>
          <w:b/>
        </w:rPr>
        <w:t xml:space="preserve">Offer required.</w:t>
        <w:t xml:space="preserve"> </w:t>
      </w:r>
      <w:r>
        <w:t xml:space="preserve"> </w:t>
      </w:r>
      <w:r>
        <w:t xml:space="preserve">Except as provided in </w:t>
      </w:r>
      <w:r>
        <w:t>subsection 2</w:t>
      </w:r>
      <w:r>
        <w:t xml:space="preserve">, a long-term care insurance policy or certificate may not be delivered or issued for delivery in this State unless the policyholder or certificate holder has been offered the option of purchasing a policy or certificate that includes a nonforfeiture benefit. The offer of a nonforfeiture benefit may be in the form of a rider that is attached to the policy.  If the policyholder or certificate holder declines the nonforfeiture benefit, the insurer shall provide a contingent benefit upon lapse that must be made available for a specified period of time following a substantial increase in premium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0"/>
        <w:ind w:start="360"/>
        <w:ind w:firstLine="360"/>
      </w:pPr>
      <w:r>
        <w:rPr>
          <w:b/>
        </w:rPr>
        <w:t>2</w:t>
        <w:t xml:space="preserve">.  </w:t>
      </w:r>
      <w:r>
        <w:rPr>
          <w:b/>
        </w:rPr>
        <w:t xml:space="preserve">Group policyholders.</w:t>
        <w:t xml:space="preserve"> </w:t>
      </w:r>
      <w:r>
        <w:t xml:space="preserve"> </w:t>
      </w:r>
      <w:r>
        <w:t xml:space="preserve">When a group long-term care insurance policy is issued, the offer required in </w:t>
      </w:r>
      <w:r>
        <w:t>subsection 1</w:t>
      </w:r>
      <w:r>
        <w:t xml:space="preserve"> must be made to the group policyholder.  If the group long-term care insurance policy is issued to a group described in </w:t>
      </w:r>
      <w:r>
        <w:t>section 2808</w:t>
      </w:r>
      <w:r>
        <w:t xml:space="preserve"> other than to a continuing care retirement community or other similar entity, the offer must be made to each proposed certificate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0"/>
        <w:ind w:start="360"/>
        <w:ind w:firstLine="360"/>
      </w:pPr>
      <w:r>
        <w:rPr>
          <w:b/>
        </w:rPr>
        <w:t>3</w:t>
        <w:t xml:space="preserve">.  </w:t>
      </w:r>
      <w:r>
        <w:rPr>
          <w:b/>
        </w:rPr>
        <w:t xml:space="preserve">Rules.</w:t>
        <w:t xml:space="preserve"> </w:t>
      </w:r>
      <w:r>
        <w:t xml:space="preserve"> </w:t>
      </w:r>
      <w:r>
        <w:t xml:space="preserve">The superintendent shall adopt rules specifying the type or types of nonforfeiture benefits to be offered as part of long-term care insurance policies and certificates, the standards for nonforfeiture benefits and the standards regarding contingent benefit upon lapse, including a determination of the specified period of time during which a contingent benefit upon lapse is available and the substantial premium rate increase that triggers a contingent benefit upon lapse as described in </w:t>
      </w:r>
      <w:r>
        <w:t>subsection 1</w:t>
      </w:r>
      <w:r>
        <w:t xml:space="preserve">.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§5077. Nonforfeiture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§5077. Nonforfeiture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§5077. NONFORFEITURE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