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5078</w:t>
        <w:t xml:space="preserve">.  </w:t>
      </w:r>
      <w:r>
        <w:rPr>
          <w:b/>
        </w:rPr>
        <w:t xml:space="preserve">Rulemaking</w:t>
      </w:r>
    </w:p>
    <w:p>
      <w:pPr>
        <w:jc w:val="both"/>
        <w:spacing w:before="100" w:after="100"/>
        <w:ind w:start="360"/>
        <w:ind w:firstLine="360"/>
      </w:pPr>
      <w:r>
        <w:rPr/>
      </w:r>
      <w:r>
        <w:rPr/>
      </w:r>
      <w:r>
        <w:t xml:space="preserve">The superintendent shall adopt rules to promote premium adequacy, to protect a policyholder and a certificate holder in the event of substantial rate increases and to establish minimum standards for marketing practices, insurance producer compensation, insurance producer education, insurance producer testing, penalties and reporting practices for long-term care insurance.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PL 2007, c. 232,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§5078.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§5078.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§5078.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