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5079</w:t>
        <w:t xml:space="preserve">.  </w:t>
      </w:r>
      <w:r>
        <w:rPr>
          <w:b/>
        </w:rPr>
        <w:t xml:space="preserve">Penalties</w:t>
      </w:r>
    </w:p>
    <w:p>
      <w:pPr>
        <w:jc w:val="both"/>
        <w:spacing w:before="100" w:after="100"/>
        <w:ind w:start="360"/>
        <w:ind w:firstLine="360"/>
      </w:pPr>
      <w:r>
        <w:rPr/>
      </w:r>
      <w:r>
        <w:rPr/>
      </w:r>
      <w:r>
        <w:t xml:space="preserve">In addition to any other penalties provided by this Title or the laws of this State, an insurer or insurance producer that violates any requirement of this chapter or rule adopted pursuant to this chapter relating to the regulation of long-term care insurance or the marketing of such insurance is subject to a fine of up to the greater of 3 times the amount of commissions paid for each policy involved in the violation or $10,000.</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