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§5082. LONG-TERM CARE PARTNERSHIP PROGRAM; AVAILABILITY OF QUALIFIED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