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6452</w:t>
        <w:t xml:space="preserve">.  </w:t>
      </w:r>
      <w:r>
        <w:rPr>
          <w:b/>
        </w:rPr>
        <w:t xml:space="preserve">Risk-based capital reports</w:t>
      </w:r>
    </w:p>
    <w:p>
      <w:pPr>
        <w:jc w:val="both"/>
        <w:spacing w:before="100" w:after="100"/>
        <w:ind w:start="360"/>
        <w:ind w:firstLine="360"/>
      </w:pPr>
      <w:r>
        <w:rPr>
          <w:b/>
        </w:rPr>
        <w:t>1</w:t>
        <w:t xml:space="preserve">.  </w:t>
      </w:r>
      <w:r>
        <w:rPr>
          <w:b/>
        </w:rPr>
        <w:t xml:space="preserve">Duty to file.</w:t>
        <w:t xml:space="preserve"> </w:t>
      </w:r>
      <w:r>
        <w:t xml:space="preserve"> </w:t>
      </w:r>
      <w:r>
        <w:t xml:space="preserve">A domestic insurer shall, on or before March 1st, submit to the superintendent a report of its risk-based capital levels as of the end of the previous calendar year, in a form and containing such information as is required by the risk-based capital instructions.  In addition, a domestic insurer shall file its risk-based capital report:</w:t>
      </w:r>
    </w:p>
    <w:p>
      <w:pPr>
        <w:jc w:val="both"/>
        <w:spacing w:before="100" w:after="0"/>
        <w:ind w:start="720"/>
      </w:pPr>
      <w:r>
        <w:rPr/>
        <w:t>A</w:t>
        <w:t xml:space="preserve">.  </w:t>
      </w:r>
      <w:r>
        <w:rPr/>
      </w:r>
      <w:r>
        <w:t xml:space="preserve">With the NAIC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With the insurance regulator in any state in which the insurer is authorized to do business, if that regulator has notified the insurer of its request for the filing in writing, in which case the insurer shall file its risk-based capital report not later than the later of:</w:t>
      </w:r>
    </w:p>
    <w:p>
      <w:pPr>
        <w:jc w:val="both"/>
        <w:spacing w:before="100" w:after="0"/>
        <w:ind w:start="1080"/>
      </w:pPr>
      <w:r>
        <w:rPr/>
        <w:t>(</w:t>
        <w:t>1</w:t>
        <w:t xml:space="preserve">)  </w:t>
      </w:r>
      <w:r>
        <w:rPr/>
      </w:r>
      <w:r>
        <w:t xml:space="preserve">Fifteen days after the receipt of notice to file its risk-based capital report with that state; or</w:t>
      </w:r>
    </w:p>
    <w:p>
      <w:pPr>
        <w:jc w:val="both"/>
        <w:spacing w:before="100" w:after="0"/>
        <w:ind w:start="1080"/>
      </w:pPr>
      <w:r>
        <w:rPr/>
        <w:t>(</w:t>
        <w:t>2</w:t>
        <w:t xml:space="preserve">)  </w:t>
      </w:r>
      <w:r>
        <w:rPr/>
      </w:r>
      <w:r>
        <w:t xml:space="preserve">The filing date.</w:t>
      </w:r>
      <w:r>
        <w:t xml:space="preserve">  </w:t>
      </w:r>
      <w:r xmlns:wp="http://schemas.openxmlformats.org/drawingml/2010/wordprocessingDrawing" xmlns:w15="http://schemas.microsoft.com/office/word/2012/wordml">
        <w:rPr>
          <w:rFonts w:ascii="Arial" w:hAnsi="Arial" w:cs="Arial"/>
          <w:sz w:val="22"/>
          <w:szCs w:val="22"/>
        </w:rPr>
        <w:t xml:space="preserve">[PL 1999, c. 113,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§25 (AMD).]</w:t>
      </w:r>
    </w:p>
    <w:p>
      <w:pPr>
        <w:jc w:val="both"/>
        <w:spacing w:before="100" w:after="100"/>
        <w:ind w:start="360"/>
        <w:ind w:firstLine="360"/>
      </w:pPr>
      <w:r>
        <w:rPr>
          <w:b/>
        </w:rPr>
        <w:t>2</w:t>
        <w:t xml:space="preserve">.  </w:t>
      </w:r>
      <w:r>
        <w:rPr>
          <w:b/>
        </w:rPr>
        <w:t xml:space="preserve">Determination of a life or health insurer's risk-based capital.</w:t>
        <w:t xml:space="preserve"> </w:t>
      </w:r>
      <w:r>
        <w:t xml:space="preserve"> </w:t>
      </w:r>
      <w:r>
        <w:t xml:space="preserve">A life or health insurer's risk-based capital must be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The risk with respect to the insurer's assets;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risk of adverse insurance experience with respect to the insurer's liabilities and obligations;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The interest rate risk with respect to the insurer's business;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in the manner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§5 (AMD).]</w:t>
      </w:r>
    </w:p>
    <w:p>
      <w:pPr>
        <w:jc w:val="both"/>
        <w:spacing w:before="100" w:after="0"/>
        <w:ind w:start="360"/>
        <w:ind w:firstLine="360"/>
      </w:pPr>
      <w:r>
        <w:rPr>
          <w:b/>
        </w:rPr>
        <w:t>3</w:t>
        <w:t xml:space="preserve">.  </w:t>
      </w:r>
      <w:r>
        <w:rPr>
          <w:b/>
        </w:rPr>
        <w:t xml:space="preserve">Filing of inaccurate report.</w:t>
        <w:t xml:space="preserve"> </w:t>
      </w:r>
      <w:r>
        <w:t xml:space="preserve"> </w:t>
      </w:r>
      <w:r>
        <w:t xml:space="preserve">If a domestic insurer files a risk-based capital report that in the judgment of the superintendent is inaccurate, then the superintendent shall adjust the risk-based capital report to correct the inaccuracy and notify the insurer of the adjustment.  The notice must contain a statement of the reason for the adjustment.  A risk-based capital report so adjusted is referred to as an adjusted risk-based capital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4</w:t>
        <w:t xml:space="preserve">.  </w:t>
      </w:r>
      <w:r>
        <w:rPr>
          <w:b/>
        </w:rPr>
        <w:t xml:space="preserve">Determination of a property and casualty insurer's risk-based capital.</w:t>
        <w:t xml:space="preserve"> </w:t>
      </w:r>
      <w:r>
        <w:t xml:space="preserve"> </w:t>
      </w:r>
      <w:r>
        <w:t xml:space="preserve">A property and casualty insurer's risk-based capital is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Asset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B</w:t>
        <w:t xml:space="preserve">.  </w:t>
      </w:r>
      <w:r>
        <w:rPr/>
      </w:r>
      <w:r>
        <w:t xml:space="preserve">Credit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C</w:t>
        <w:t xml:space="preserve">.  </w:t>
      </w:r>
      <w:r>
        <w:rPr/>
      </w:r>
      <w:r>
        <w:t xml:space="preserve">Underwriting risk; and</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§§5,6 (AMD). PL 1999, c. 113,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§6452. Risk-based capital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§6452. Risk-based capital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§6452. RISK-BASED CAPITAL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