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6456</w:t>
        <w:t xml:space="preserve">.  </w:t>
      </w:r>
      <w:r>
        <w:rPr>
          <w:b/>
        </w:rPr>
        <w:t xml:space="preserve">Mandatory control level event</w:t>
      </w:r>
    </w:p>
    <w:p>
      <w:pPr>
        <w:jc w:val="both"/>
        <w:spacing w:before="100" w:after="100"/>
        <w:ind w:start="360"/>
        <w:ind w:firstLine="360"/>
      </w:pPr>
      <w:r>
        <w:rPr>
          <w:b/>
        </w:rPr>
        <w:t>1</w:t>
        <w:t xml:space="preserve">.  </w:t>
      </w:r>
      <w:r>
        <w:rPr>
          <w:b/>
        </w:rPr>
        <w:t xml:space="preserve">Mandatory control level event; defined.</w:t>
        <w:t xml:space="preserve"> </w:t>
      </w:r>
      <w:r>
        <w:t xml:space="preserve"> </w:t>
      </w:r>
      <w:r>
        <w:t xml:space="preserve">"Mandatory control level event" means any of the following events:</w:t>
      </w:r>
    </w:p>
    <w:p>
      <w:pPr>
        <w:jc w:val="both"/>
        <w:spacing w:before="100" w:after="0"/>
        <w:ind w:start="720"/>
      </w:pPr>
      <w:r>
        <w:rPr/>
        <w:t>A</w:t>
        <w:t xml:space="preserve">.  </w:t>
      </w:r>
      <w:r>
        <w:rPr/>
      </w:r>
      <w:r>
        <w:t xml:space="preserve">The filing of a risk-based capital report that indicates that the insurer's total adjusted capital is less than its mandatory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the insurer of an adjusted risk-based capital report that indicates the event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an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2</w:t>
        <w:t xml:space="preserve">.  </w:t>
      </w:r>
      <w:r>
        <w:rPr>
          <w:b/>
        </w:rPr>
        <w:t xml:space="preserve">Superintendent duties; mandatory control level event.</w:t>
        <w:t xml:space="preserve"> </w:t>
      </w:r>
      <w:r>
        <w:t xml:space="preserve"> </w:t>
      </w:r>
      <w:r>
        <w:t xml:space="preserve">When a mandatory control level event occurs, the superintendent shall take those actions that are necessary to cause the insurer to be placed under regulatory control under </w:t>
      </w:r>
      <w:r>
        <w:t>chapter 57</w:t>
      </w:r>
      <w:r>
        <w:t xml:space="preserve"> or take alternative action as authorized under </w:t>
      </w:r>
      <w:r>
        <w:t>paragraphs A</w:t>
      </w:r>
      <w:r>
        <w:t xml:space="preserve"> and </w:t>
      </w:r>
      <w:r>
        <w:t>B</w:t>
      </w:r>
      <w:r>
        <w:t xml:space="preserve">.  If the superintendent takes those actions, the mandatory control level event is deemed sufficient grounds for the superintendent to take action under </w:t>
      </w:r>
      <w:r>
        <w:t>chapter 57</w:t>
      </w:r>
      <w:r>
        <w:t xml:space="preserve">, and the superintendent has the rights, powers and duties with respect to the insurer as are set forth in </w:t>
      </w:r>
      <w:r>
        <w:t>chapter 57</w:t>
      </w:r>
      <w:r>
        <w:t xml:space="preserve">.  If the superintendent takes actions pursuant to an adjusted risk-based capital report, the insurer is entitled to those protections that are afforded to insurers under the provisions of </w:t>
      </w:r>
      <w:r>
        <w:t>chapter 57, subchapter 2</w:t>
      </w:r>
      <w:r>
        <w:t xml:space="preserve"> pertaining to summary proceedings.</w:t>
      </w:r>
    </w:p>
    <w:p>
      <w:pPr>
        <w:jc w:val="both"/>
        <w:spacing w:before="100" w:after="0"/>
        <w:ind w:start="720"/>
      </w:pPr>
      <w:r>
        <w:rPr/>
        <w:t>A</w:t>
        <w:t xml:space="preserve">.  </w:t>
      </w:r>
      <w:r>
        <w:rPr/>
      </w:r>
      <w:r>
        <w:t xml:space="preserve">The superintendent may forgo action for up to 90 days after the mandatory control level event if the superintendent finds there is a reasonable expectation that the mandatory control level event may be eliminated within the 90-day period.</w:t>
      </w:r>
      <w:r>
        <w:t xml:space="preserve">  </w:t>
      </w:r>
      <w:r xmlns:wp="http://schemas.openxmlformats.org/drawingml/2010/wordprocessingDrawing" xmlns:w15="http://schemas.microsoft.com/office/word/2012/wordml">
        <w:rPr>
          <w:rFonts w:ascii="Arial" w:hAnsi="Arial" w:cs="Arial"/>
          <w:sz w:val="22"/>
          <w:szCs w:val="22"/>
        </w:rPr>
        <w:t xml:space="preserve">[PL 2017, c. 169, Pt. F, §1 (NEW).]</w:t>
      </w:r>
    </w:p>
    <w:p>
      <w:pPr>
        <w:jc w:val="both"/>
        <w:spacing w:before="100" w:after="0"/>
        <w:ind w:start="720"/>
      </w:pPr>
      <w:r>
        <w:rPr/>
        <w:t>B</w:t>
        <w:t xml:space="preserve">.  </w:t>
      </w:r>
      <w:r>
        <w:rPr/>
      </w:r>
      <w:r>
        <w:t xml:space="preserve">In the case of a property and casualty insurer that is not authorized to write new business, the superintendent may allow the insurer to continue to run off its existing business under the superintendent's supervision if the superintendent determines that there will be sufficient funds to meet the insurer's obligations as they become due.  This paragraph does not apply to health insurers.</w:t>
      </w:r>
      <w:r>
        <w:t xml:space="preserve">  </w:t>
      </w:r>
      <w:r xmlns:wp="http://schemas.openxmlformats.org/drawingml/2010/wordprocessingDrawing" xmlns:w15="http://schemas.microsoft.com/office/word/2012/wordml">
        <w:rPr>
          <w:rFonts w:ascii="Arial" w:hAnsi="Arial" w:cs="Arial"/>
          <w:sz w:val="22"/>
          <w:szCs w:val="22"/>
        </w:rPr>
        <w:t xml:space="preserve">[PL 2017, c. 169, Pt. 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1997, c. 81, §8 (AMD). PL 2017, c. 169,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§6456. Mandatory control level 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§6456. Mandatory control level event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§6456. MANDATORY CONTROL LEVEL 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