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6810</w:t>
        <w:t xml:space="preserve">.  </w:t>
      </w:r>
      <w:r>
        <w:rPr>
          <w:b/>
        </w:rPr>
        <w:t xml:space="preserve">Rules</w:t>
      </w:r>
    </w:p>
    <w:p>
      <w:pPr>
        <w:jc w:val="both"/>
        <w:spacing w:before="100" w:after="100"/>
        <w:ind w:start="360"/>
        <w:ind w:firstLine="360"/>
      </w:pPr>
      <w:r>
        <w:rPr/>
      </w:r>
      <w:r>
        <w:rPr/>
      </w:r>
      <w:r>
        <w:t xml:space="preserve">The superintendent may adopt rules implementing this chapter.  These rules are routine technical rules under </w:t>
      </w:r>
      <w:r>
        <w:t>Title 5, chapter 375, subchapter 2‑A</w:t>
      </w:r>
      <w:r>
        <w:t xml:space="preserve">.  Rules may be adopted to:</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360"/>
        <w:ind w:firstLine="360"/>
      </w:pPr>
      <w:r>
        <w:rPr>
          <w:b/>
        </w:rPr>
        <w:t>1</w:t>
        <w:t xml:space="preserve">.  </w:t>
      </w:r>
      <w:r>
        <w:rPr>
          <w:b/>
        </w:rPr>
        <w:t xml:space="preserve">Standards for evaluating reasonableness of payments.</w:t>
        <w:t xml:space="preserve"> </w:t>
      </w:r>
      <w:r>
        <w:t xml:space="preserve"> </w:t>
      </w:r>
      <w:r>
        <w:t xml:space="preserve">Establish standards for evaluating the reasonableness of payments to viators under a settlement contract only when the insured in the policy that is the subject of a settlement contract is terminally ill or chronically ill.  This authority includes, but is not limited to, regulation of discount rates used to determine the amount paid in exchange for assignment, transfer, sale, devise or bequest of a benefit under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2</w:t>
        <w:t xml:space="preserve">.  </w:t>
      </w:r>
      <w:r>
        <w:rPr>
          <w:b/>
        </w:rPr>
        <w:t xml:space="preserve">Licensing requirements and standards.</w:t>
        <w:t xml:space="preserve"> </w:t>
      </w:r>
      <w:r>
        <w:t xml:space="preserve"> </w:t>
      </w:r>
      <w:r>
        <w:t xml:space="preserve">Establish appropriate licensing requirements and standards for continued licensure for settlement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3</w:t>
        <w:t xml:space="preserve">.  </w:t>
      </w:r>
      <w:r>
        <w:rPr>
          <w:b/>
        </w:rPr>
        <w:t xml:space="preserve">Mechanism for financial accountability.</w:t>
        <w:t xml:space="preserve"> </w:t>
      </w:r>
      <w:r>
        <w:t xml:space="preserve"> </w:t>
      </w:r>
      <w:r>
        <w:t xml:space="preserve">Require a bond or other mechanism for financial accountability for settlement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4</w:t>
        <w:t xml:space="preserve">.  </w:t>
      </w:r>
      <w:r>
        <w:rPr>
          <w:b/>
        </w:rPr>
        <w:t xml:space="preserve">Govern relationship and responsibilities.</w:t>
        <w:t xml:space="preserve"> </w:t>
      </w:r>
      <w:r>
        <w:t xml:space="preserve"> </w:t>
      </w:r>
      <w:r>
        <w:t xml:space="preserve">Govern the relationship and responsibilities of both insurers and settlement providers and settlement producers and others in the business of settlement during the period of consideration or effectuation of a settlement contract;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5</w:t>
        <w:t xml:space="preserve">.  </w:t>
      </w:r>
      <w:r>
        <w:rPr>
          <w:b/>
        </w:rPr>
        <w:t xml:space="preserve">Implement other requirements.</w:t>
        <w:t xml:space="preserve"> </w:t>
      </w:r>
      <w:r>
        <w:t xml:space="preserve"> </w:t>
      </w:r>
      <w:r>
        <w:t xml:space="preserve">Implement any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