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§7057. TRAVEL PROTECTION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