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796-A</w:t>
        <w:t xml:space="preserve">.  </w:t>
      </w:r>
      <w:r>
        <w:rPr>
          <w:b/>
        </w:rPr>
        <w:t xml:space="preserve">Confidentiality of proprietary information</w:t>
      </w:r>
    </w:p>
    <w:p>
      <w:pPr>
        <w:jc w:val="both"/>
        <w:spacing w:before="100" w:after="100"/>
        <w:ind w:start="360"/>
        <w:ind w:firstLine="360"/>
      </w:pPr>
      <w:r>
        <w:rPr/>
      </w:r>
      <w:r>
        <w:rPr/>
      </w:r>
      <w:r>
        <w:t xml:space="preserve">Any requirement established by this subchapter to file proprietary business information with the superintendent does not in and of itself make that information a public record.  Information filed with the superintendent pursuant to this subchapter is entitled to any privileges and confidentiality protections that would apply if the special purpose reinsurance vehicle were a captive insurance company licensed by the superintendent pursuant to </w:t>
      </w:r>
      <w:r>
        <w:t>section 6702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386,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§796-A. Confidentiality of proprietary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§796-A. Confidentiality of proprietary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§796-A. CONFIDENTIALITY OF PROPRIETARY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