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Authority to adopt rules</w:t>
      </w:r>
    </w:p>
    <w:p>
      <w:pPr>
        <w:jc w:val="both"/>
        <w:spacing w:before="100" w:after="100"/>
        <w:ind w:start="360"/>
        <w:ind w:firstLine="360"/>
      </w:pPr>
      <w:r>
        <w:rPr/>
      </w:r>
      <w:r>
        <w:rPr/>
      </w:r>
      <w:r>
        <w:t xml:space="preserve">The superintendent may adopt rules necessary to effectuate the purposes of this subchapter.  Any rules so adopted do not affect a special purpose reinsurance vehicle insurance securitization in effect at the time of adoption.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§797. Authority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Authority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§797. AUTHORITY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