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Applicable interest rates</w:t>
      </w:r>
    </w:p>
    <w:p>
      <w:pPr>
        <w:jc w:val="both"/>
        <w:spacing w:before="100" w:after="100"/>
        <w:ind w:start="360"/>
        <w:ind w:firstLine="360"/>
      </w:pPr>
      <w:r>
        <w:rPr>
          <w:b/>
        </w:rPr>
        <w:t>1</w:t>
        <w:t xml:space="preserve">.  </w:t>
      </w:r>
      <w:r>
        <w:rPr>
          <w:b/>
        </w:rPr>
      </w:r>
      <w:r>
        <w:t xml:space="preserve"> </w:t>
      </w:r>
      <w:r>
        <w:t xml:space="preserve">The interest rates used in determining the minimum standard for the valuation of the following shall be the calendar year statutory valuation interest rates, as defined in this section:</w:t>
      </w:r>
    </w:p>
    <w:p>
      <w:pPr>
        <w:jc w:val="both"/>
        <w:spacing w:before="100" w:after="0"/>
        <w:ind w:start="720"/>
      </w:pPr>
      <w:r>
        <w:rPr/>
        <w:t>A</w:t>
        <w:t xml:space="preserve">.  </w:t>
      </w:r>
      <w:r>
        <w:rPr/>
      </w:r>
      <w:r>
        <w:t xml:space="preserve">All life insurance policies issued in a particular calendar year, on or after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All individual annuity and pure endowment contracts issued in a particular calendar year on or after January 1, 1984, or January 1, 1983, at the election of the insurer;</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All annuities and pure endowments purchased in a particular calendar year on or after January 1, 1984, or January 1, 1983, at the election of the insurer, under group annuity and pure endowment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The net increase, if any, in a particular calendar year after January 1, 1984, or January 1, 1983, at the election of the insurer, in amounts held under guaranteed interest contracts.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An insurer electing January 1, 1983, in lieu of January 1, 1984, in </w:t>
      </w:r>
      <w:r>
        <w:t>paragraph B</w:t>
      </w:r>
      <w:r>
        <w:t xml:space="preserve">, </w:t>
      </w:r>
      <w:r>
        <w:t>C</w:t>
      </w:r>
      <w:r>
        <w:t xml:space="preserve"> or </w:t>
      </w:r>
      <w:r>
        <w:t>D</w:t>
      </w:r>
      <w:r>
        <w:t xml:space="preserve">, shall notify the superintendent of its election by written notice no later than December 31,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2</w:t>
        <w:t xml:space="preserve">.  </w:t>
      </w:r>
      <w:r>
        <w:rPr>
          <w:b/>
        </w:rPr>
      </w:r>
      <w:r>
        <w:t xml:space="preserve"> </w:t>
      </w:r>
      <w:r>
        <w:t xml:space="preserve">The calendar year statutory valuation interest rates, I, shall be determined as follows and the results rounded to the nearest 1/4 of 1%:</w:t>
      </w:r>
    </w:p>
    <w:p>
      <w:pPr>
        <w:jc w:val="both"/>
        <w:spacing w:before="100" w:after="0"/>
        <w:ind w:start="720"/>
      </w:pPr>
      <w:r>
        <w:rPr/>
        <w:t>A</w:t>
        <w:t xml:space="preserve">.  </w:t>
      </w:r>
      <w:r>
        <w:rPr/>
      </w:r>
      <w:r>
        <w:t xml:space="preserve">For life insurance:</w:t>
      </w:r>
    </w:p>
    <w:p xmlns:wp="http://schemas.openxmlformats.org/drawingml/2010/wordprocessingDrawing" xmlns:w15="http://schemas.microsoft.com/office/word/2012/wordml">
      <w:pPr>
        <w:spacing w:before="100" w:after="100"/>
        <w:ind w:start="1080"/>
      </w:pPr>
      <w:r>
        <w:t xml:space="preserve">I = .03 + W (R</w:t>
      </w:r>
      <w:r>
        <w:rPr>
          <w:vertAlign w:val="subscript"/>
        </w:rPr>
        <w:t>1</w:t>
      </w:r>
      <w:r>
        <w:t xml:space="preserve"> -.03) +  W (R</w:t>
      </w:r>
      <w:r>
        <w:rPr>
          <w:vertAlign w:val="subscript"/>
        </w:rPr>
        <w:t>2</w:t>
      </w:r>
      <w:r>
        <w:t xml:space="preserve">-.09)</w:t>
      </w:r>
    </w:p>
    <w:p xmlns:wp="http://schemas.openxmlformats.org/drawingml/2010/wordprocessingDrawing" xmlns:w15="http://schemas.microsoft.com/office/word/2012/wordml">
      <w:pPr>
        <w:spacing w:before="100" w:after="100"/>
        <w:ind w:start="720"/>
      </w:pPr>
      <w:r>
        <w:t xml:space="preserve">                                        2</w:t>
      </w:r>
      <w:r>
        <w:t xml:space="preserve">  </w:t>
      </w:r>
      <w:r>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from guaranteed interest contracts with cash settlement options:</w:t>
      </w:r>
    </w:p>
    <w:p xmlns:wp="http://schemas.openxmlformats.org/drawingml/2010/wordprocessingDrawing" xmlns:w15="http://schemas.microsoft.com/office/word/2012/wordml">
      <w:pPr>
        <w:spacing w:before="100" w:after="100"/>
        <w:ind w:start="1080"/>
      </w:pPr>
      <w:r>
        <w:t xml:space="preserve">I=.03 + W (R -.03)</w:t>
      </w:r>
      <w:r>
        <w:t xml:space="preserve">  </w:t>
      </w:r>
      <w:r>
        <w:rPr>
          <w:rFonts w:ascii="Arial" w:hAnsi="Arial" w:cs="Arial"/>
          <w:sz w:val="22"/>
          <w:szCs w:val="22"/>
        </w:rPr>
        <w:t xml:space="preserve">[PL 1983, c. 346, §3 (NEW).]</w:t>
      </w:r>
    </w:p>
    <w:p xmlns:wp="http://schemas.openxmlformats.org/drawingml/2010/wordprocessingDrawing" xmlns:w15="http://schemas.microsoft.com/office/word/2012/wordml">
      <w:pPr>
        <w:spacing w:before="100" w:after="100"/>
        <w:ind w:start="1800"/>
      </w:pPr>
      <w:r>
        <w:t xml:space="preserve">where R</w:t>
      </w:r>
      <w:r>
        <w:rPr>
          <w:vertAlign w:val="subscript"/>
        </w:rPr>
        <w:t>1</w:t>
      </w:r>
      <w:r>
        <w:t xml:space="preserve"> is the lesser of R and .09,</w:t>
      </w:r>
    </w:p>
    <w:p xmlns:wp="http://schemas.openxmlformats.org/drawingml/2010/wordprocessingDrawing" xmlns:w15="http://schemas.microsoft.com/office/word/2012/wordml">
      <w:pPr>
        <w:spacing w:before="100" w:after="100"/>
        <w:ind w:start="2160"/>
      </w:pPr>
      <w:r>
        <w:t xml:space="preserve">R</w:t>
      </w:r>
      <w:r>
        <w:rPr>
          <w:vertAlign w:val="subscript"/>
        </w:rPr>
        <w:t>2</w:t>
      </w:r>
      <w:r>
        <w:t xml:space="preserve"> is the greater of R and .09,</w:t>
      </w:r>
    </w:p>
    <w:p xmlns:wp="http://schemas.openxmlformats.org/drawingml/2010/wordprocessingDrawing" xmlns:w15="http://schemas.microsoft.com/office/word/2012/wordml">
      <w:pPr>
        <w:spacing w:before="100" w:after="100"/>
        <w:ind w:start="1080"/>
      </w:pPr>
      <w:r>
        <w:t xml:space="preserve">R is the reference interest rate defined in this section, and W is the weighting factor defined in this section;</w:t>
      </w:r>
      <w:r>
        <w:t xml:space="preserve">  </w:t>
      </w:r>
      <w:r>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an issue year basis, except as stated in </w:t>
      </w:r>
      <w:r>
        <w:t>paragraph B</w:t>
      </w:r>
      <w:r>
        <w:t xml:space="preserve">, the formula for life insurance stated in </w:t>
      </w:r>
      <w:r>
        <w:t>paragraph A</w:t>
      </w:r>
      <w:r>
        <w:t xml:space="preserve"> shall apply to annuities and guaranteed interest contracts with guarantee durations in excess of 10 years, and the formula for single premium immediate annuities stated in paragraph B shall apply to annuities and guaranteed interest contracts with guarantee duration of 10 years or less;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no cash settlement options and for guaranteed interest contracts with no cash settlement options, the formula for single premium annuities stated in </w:t>
      </w:r>
      <w:r>
        <w:t>paragraph B</w:t>
      </w:r>
      <w:r>
        <w:t xml:space="preserve"> shall apply;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cash settlement options and guaranteed interest contracts with cash settlement options, valued on a change in fund basis, the formula for single premium immediate annuities stated in </w:t>
      </w:r>
      <w:r>
        <w:t>paragraph B</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1/2 of 1%, the calendar year statutory valuation interest rate for those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1980, by using the reference interest rate defined for 1979, and shall be determined for each subsequent calendar year, regardless of when the Standard Nonforfeiture Law for Life Insurance, </w:t>
      </w:r>
      <w:r>
        <w:t>section 2532‑A</w:t>
      </w:r>
      <w:r>
        <w:t xml:space="preserve">, becomes 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3</w:t>
        <w:t xml:space="preserve">.  </w:t>
      </w:r>
      <w:r>
        <w:rPr>
          <w:b/>
        </w:rPr>
      </w:r>
      <w:r>
        <w:t xml:space="preserve"> </w:t>
      </w:r>
      <w:r>
        <w:t xml:space="preserve">The weighting factors in the formulas in </w:t>
      </w:r>
      <w:r>
        <w:t>subsection 2</w:t>
      </w:r>
      <w:r>
        <w:t xml:space="preserve"> are given in the following tables:</w:t>
      </w:r>
    </w:p>
    <w:p>
      <w:pPr>
        <w:jc w:val="both"/>
        <w:spacing w:before="100" w:after="0"/>
        <w:ind w:start="720"/>
      </w:pPr>
      <w:r>
        <w:rPr/>
        <w:t>A</w:t>
        <w:t xml:space="preserve">.  </w:t>
      </w:r>
      <w:r>
        <w:rPr/>
      </w:r>
      <w:r>
        <w:t xml:space="preserve">Weighting Factors for Life Insurance: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3341"/>
        <w:gridCol w:w="1152"/>
      </w:tblGrid>
      <w:tr>
        <w:trPr>
          <w:cantSplit/>
        </w:trPr>
        <w:tc>
          <w:tcPr>
            <w:tcW w:w="216" w:type="dxa"/>
          </w:tcPr>
          <w:p>
            <w:pPr>
              <w:jc w:val="both"/>
            </w:pPr>
          </w:p>
        </w:tc>
        <w:tc>
          <w:tcPr>
            <w:tcW w:w="3341" w:type="dxa"/>
          </w:tcPr>
          <w:p>
            <w:pPr>
              <w:jc w:val="both"/>
            </w:pPr>
          </w:p>
        </w:tc>
        <w:tc>
          <w:tcPr>
            <w:tcW w:w="1152" w:type="dxa"/>
          </w:tcPr>
          <w:p>
            <w:pPr>
              <w:jc w:val="both"/>
            </w:pPr>
          </w:p>
        </w:tc>
      </w:tr>
      <w:tr>
        <w:trPr>
          <w:cantSplit/>
        </w:trPr>
        <w:tc>
          <w:tcPr>
            <w:tcW w:w="216" w:type="dxa"/>
          </w:tcPr>
          <w:p>
            <w:pPr>
              <w:jc w:val="both"/>
            </w:pPr>
          </w:p>
        </w:tc>
        <w:tc>
          <w:tcPr>
            <w:tcW w:w="3341" w:type="dxa"/>
          </w:tcPr>
          <w:p>
            <w:pPr>
              <w:jc w:val="left"/>
            </w:pPr>
            <w:r>
              <w:t xml:space="preserve">Guarantee</w:t>
            </w:r>
          </w:p>
        </w:tc>
        <w:tc>
          <w:tcPr>
            <w:tcW w:w="1152" w:type="dxa"/>
          </w:tcPr>
          <w:p>
            <w:pPr>
              <w:jc w:val="both"/>
            </w:pPr>
          </w:p>
        </w:tc>
      </w:tr>
      <w:tr>
        <w:trPr>
          <w:cantSplit/>
        </w:trPr>
        <w:tc>
          <w:tcPr>
            <w:tcW w:w="216" w:type="dxa"/>
          </w:tcPr>
          <w:p>
            <w:pPr>
              <w:jc w:val="both"/>
            </w:pPr>
          </w:p>
        </w:tc>
        <w:tc>
          <w:tcPr>
            <w:tcW w:w="3341" w:type="dxa"/>
          </w:tcPr>
          <w:p>
            <w:pPr>
              <w:jc w:val="left"/>
            </w:pPr>
            <w:r>
              <w:t xml:space="preserve">Duration</w:t>
            </w:r>
          </w:p>
        </w:tc>
        <w:tc>
          <w:tcPr>
            <w:tcW w:w="1152" w:type="dxa"/>
          </w:tcPr>
          <w:p>
            <w:pPr>
              <w:jc w:val="right"/>
            </w:pPr>
            <w:r>
              <w:t xml:space="preserve">Weighting</w:t>
            </w:r>
          </w:p>
        </w:tc>
      </w:tr>
      <w:tr>
        <w:trPr>
          <w:cantSplit/>
        </w:trPr>
        <w:tc>
          <w:tcPr>
            <w:tcW w:w="216" w:type="dxa"/>
          </w:tcPr>
          <w:p>
            <w:pPr>
              <w:jc w:val="both"/>
            </w:pPr>
          </w:p>
        </w:tc>
        <w:tc>
          <w:tcPr>
            <w:tcW w:w="3341" w:type="dxa"/>
          </w:tcPr>
          <w:p>
            <w:pPr>
              <w:jc w:val="left"/>
            </w:pPr>
            <w:r>
              <w:t xml:space="preserve">(Years)</w:t>
            </w:r>
          </w:p>
        </w:tc>
        <w:tc>
          <w:tcPr>
            <w:tcW w:w="1152" w:type="dxa"/>
          </w:tcPr>
          <w:p>
            <w:pPr>
              <w:jc w:val="right"/>
            </w:pPr>
            <w:r>
              <w:t xml:space="preserve">Factors</w:t>
            </w:r>
          </w:p>
        </w:tc>
      </w:tr>
      <w:tr>
        <w:trPr>
          <w:cantSplit/>
        </w:trPr>
        <w:tc>
          <w:tcPr>
            <w:tcW w:w="216" w:type="dxa"/>
          </w:tcPr>
          <w:p>
            <w:pPr>
              <w:jc w:val="both"/>
            </w:pPr>
          </w:p>
        </w:tc>
        <w:tc>
          <w:tcPr>
            <w:tcW w:w="3341" w:type="dxa"/>
          </w:tcPr>
          <w:p>
            <w:pPr>
              <w:jc w:val="left"/>
            </w:pPr>
            <w:r>
              <w:t xml:space="preserve">10 or less</w:t>
            </w:r>
          </w:p>
        </w:tc>
        <w:tc>
          <w:tcPr>
            <w:tcW w:w="1152" w:type="dxa"/>
          </w:tcPr>
          <w:p>
            <w:pPr>
              <w:jc w:val="right"/>
            </w:pPr>
            <w:r>
              <w:t xml:space="preserve">.50</w:t>
            </w:r>
          </w:p>
        </w:tc>
      </w:tr>
      <w:tr>
        <w:trPr>
          <w:cantSplit/>
        </w:trPr>
        <w:tc>
          <w:tcPr>
            <w:tcW w:w="216" w:type="dxa"/>
          </w:tcPr>
          <w:p>
            <w:pPr>
              <w:jc w:val="both"/>
            </w:pPr>
          </w:p>
        </w:tc>
        <w:tc>
          <w:tcPr>
            <w:tcW w:w="3341" w:type="dxa"/>
          </w:tcPr>
          <w:p>
            <w:pPr>
              <w:jc w:val="left"/>
            </w:pPr>
            <w:r>
              <w:t xml:space="preserve">More than 10, but not more than 20</w:t>
            </w:r>
          </w:p>
        </w:tc>
        <w:tc>
          <w:tcPr>
            <w:tcW w:w="1152" w:type="dxa"/>
          </w:tcPr>
          <w:p>
            <w:pPr>
              <w:jc w:val="right"/>
            </w:pPr>
            <w:r>
              <w:t xml:space="preserve">.45</w:t>
            </w:r>
          </w:p>
        </w:tc>
      </w:tr>
      <w:tr>
        <w:trPr>
          <w:cantSplit/>
        </w:trPr>
        <w:tc>
          <w:tcPr>
            <w:tcW w:w="216" w:type="dxa"/>
          </w:tcPr>
          <w:p>
            <w:pPr>
              <w:jc w:val="both"/>
            </w:pPr>
          </w:p>
        </w:tc>
        <w:tc>
          <w:tcPr>
            <w:tcW w:w="3341" w:type="dxa"/>
          </w:tcPr>
          <w:p>
            <w:pPr>
              <w:jc w:val="left"/>
            </w:pPr>
            <w:r>
              <w:t xml:space="preserve">More than 20</w:t>
            </w:r>
          </w:p>
        </w:tc>
        <w:tc>
          <w:tcPr>
            <w:tcW w:w="1152" w:type="dxa"/>
          </w:tcPr>
          <w:p>
            <w:pPr>
              <w:jc w:val="right"/>
            </w:pPr>
            <w:r>
              <w:t xml:space="preserve">.35</w:t>
            </w:r>
          </w:p>
        </w:tc>
      </w:tr>
    </w:tbl>
    <w:p>
      <w:pPr>
        <w:jc w:val="both"/>
        <w:spacing w:before="100" w:after="0"/>
        <w:ind w:start="720"/>
      </w:pPr>
      <w:r>
        <w:rPr/>
      </w:r>
      <w:r>
        <w:rPr/>
      </w:r>
      <w:r>
        <w:t xml:space="preserve">For life insurance, the guarantee duration is the maximum number of years the life insurance can remain in force on a basis guaranteed in policy or under options to convert to plans of life insurance with premium rates or nonforfeiture values or both which are guaranteed in the original policy;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Weighting factor for single premium immediate annuities and for annuity benefits involving life contingencies arising from other annuities with cash settlement options and guaranteed interest contracts with cash settlement options:.80;</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Weighting factors for other annuities and for guaranteed interest contracts, except as stated in </w:t>
      </w:r>
      <w:r>
        <w:t>paragraph B</w:t>
      </w:r>
      <w:r>
        <w:t xml:space="preserve">, shall be as specified in subparagraphs (1), (2) and (3), according to the rules and definitions in subparagraphs (4), (5) and (6):</w:t>
      </w:r>
    </w:p>
    <w:p>
      <w:pPr>
        <w:jc w:val="both"/>
        <w:spacing w:before="100" w:after="0"/>
        <w:ind w:start="1080"/>
      </w:pPr>
      <w:r>
        <w:rPr/>
        <w:t>(</w:t>
        <w:t>1</w:t>
        <w:t xml:space="preserve">)  </w:t>
      </w:r>
      <w:r>
        <w:rPr/>
      </w:r>
      <w:r>
        <w:t xml:space="preserve">For annuities and guaranteed interest contracts valued on an issue year basis: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3413"/>
        <w:gridCol w:w="3110"/>
        <w:gridCol w:w="490"/>
        <w:gridCol w:w="490"/>
      </w:tblGrid>
      <w:tr>
        <w:trPr>
          <w:cantSplit/>
        </w:trPr>
        <w:tc>
          <w:tcPr>
            <w:tcW w:w="216" w:type="dxa"/>
          </w:tcPr>
          <w:p>
            <w:pPr>
              <w:jc w:val="both"/>
            </w:pPr>
          </w:p>
        </w:tc>
        <w:tc>
          <w:tcPr>
            <w:tcW w:w="3413" w:type="dxa"/>
          </w:tcPr>
          <w:p>
            <w:pPr>
              <w:jc w:val="both"/>
            </w:pP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Guarantee</w:t>
            </w:r>
          </w:p>
        </w:tc>
        <w:tc>
          <w:tcPr>
            <w:tcW w:w="3110" w:type="dxa"/>
          </w:tcPr>
          <w:p>
            <w:pPr>
              <w:jc w:val="center"/>
            </w:pPr>
            <w:r>
              <w:t xml:space="preserve">Weighting Factor for Plan Types</w:t>
            </w:r>
          </w:p>
        </w:tc>
      </w:tr>
      <w:tr>
        <w:trPr>
          <w:cantSplit/>
        </w:trPr>
        <w:tc>
          <w:tcPr>
            <w:tcW w:w="216" w:type="dxa"/>
          </w:tcPr>
          <w:p>
            <w:pPr>
              <w:jc w:val="both"/>
            </w:pPr>
          </w:p>
        </w:tc>
        <w:tc>
          <w:tcPr>
            <w:tcW w:w="3413" w:type="dxa"/>
          </w:tcPr>
          <w:p>
            <w:pPr>
              <w:jc w:val="left"/>
            </w:pPr>
            <w:r>
              <w:t xml:space="preserve">Duration</w:t>
            </w: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(Years)</w:t>
            </w:r>
          </w:p>
        </w:tc>
        <w:tc>
          <w:tcPr>
            <w:tcW w:w="3110" w:type="dxa"/>
          </w:tcPr>
          <w:p>
            <w:pPr>
              <w:jc w:val="right"/>
            </w:pPr>
            <w:r>
              <w:t xml:space="preserve">A</w:t>
            </w:r>
          </w:p>
        </w:tc>
        <w:tc>
          <w:tcPr>
            <w:tcW w:w="490" w:type="dxa"/>
          </w:tcPr>
          <w:p>
            <w:pPr>
              <w:jc w:val="right"/>
            </w:pPr>
            <w:r>
              <w:t xml:space="preserve">B</w:t>
            </w:r>
          </w:p>
        </w:tc>
        <w:tc>
          <w:tcPr>
            <w:tcW w:w="490" w:type="dxa"/>
          </w:tcPr>
          <w:p>
            <w:pPr>
              <w:jc w:val="right"/>
            </w:pPr>
            <w:r>
              <w:t xml:space="preserve">C</w:t>
            </w:r>
          </w:p>
        </w:tc>
      </w:tr>
      <w:tr>
        <w:trPr>
          <w:cantSplit/>
        </w:trPr>
        <w:tc>
          <w:tcPr>
            <w:tcW w:w="216" w:type="dxa"/>
          </w:tcPr>
          <w:p>
            <w:pPr>
              <w:jc w:val="both"/>
            </w:pPr>
          </w:p>
        </w:tc>
        <w:tc>
          <w:tcPr>
            <w:tcW w:w="3413" w:type="dxa"/>
          </w:tcPr>
          <w:p>
            <w:pPr>
              <w:jc w:val="left"/>
            </w:pPr>
            <w:r>
              <w:t xml:space="preserve">5 or less:</w:t>
            </w:r>
          </w:p>
        </w:tc>
        <w:tc>
          <w:tcPr>
            <w:tcW w:w="3110" w:type="dxa"/>
          </w:tcPr>
          <w:p>
            <w:pPr>
              <w:jc w:val="right"/>
            </w:pPr>
            <w:r>
              <w:t xml:space="preserve">.80</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5, but not more than 10:</w:t>
            </w:r>
          </w:p>
        </w:tc>
        <w:tc>
          <w:tcPr>
            <w:tcW w:w="3110" w:type="dxa"/>
          </w:tcPr>
          <w:p>
            <w:pPr>
              <w:jc w:val="right"/>
            </w:pPr>
            <w:r>
              <w:t xml:space="preserve">.75</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10, but not more than 20:</w:t>
            </w:r>
          </w:p>
        </w:tc>
        <w:tc>
          <w:tcPr>
            <w:tcW w:w="3110" w:type="dxa"/>
          </w:tcPr>
          <w:p>
            <w:pPr>
              <w:jc w:val="right"/>
            </w:pPr>
            <w:r>
              <w:t xml:space="preserve">.65</w:t>
            </w:r>
          </w:p>
        </w:tc>
        <w:tc>
          <w:tcPr>
            <w:tcW w:w="490" w:type="dxa"/>
          </w:tcPr>
          <w:p>
            <w:pPr>
              <w:jc w:val="right"/>
            </w:pPr>
            <w:r>
              <w:t xml:space="preserve">.50</w:t>
            </w:r>
          </w:p>
        </w:tc>
        <w:tc>
          <w:tcPr>
            <w:tcW w:w="490" w:type="dxa"/>
          </w:tcPr>
          <w:p>
            <w:pPr>
              <w:jc w:val="right"/>
            </w:pPr>
            <w:r>
              <w:t xml:space="preserve">.45</w:t>
            </w:r>
          </w:p>
        </w:tc>
      </w:tr>
      <w:tr>
        <w:trPr>
          <w:cantSplit/>
        </w:trPr>
        <w:tc>
          <w:tcPr>
            <w:tcW w:w="216" w:type="dxa"/>
          </w:tcPr>
          <w:p>
            <w:pPr>
              <w:jc w:val="both"/>
            </w:pPr>
          </w:p>
        </w:tc>
        <w:tc>
          <w:tcPr>
            <w:tcW w:w="3413" w:type="dxa"/>
          </w:tcPr>
          <w:p>
            <w:pPr>
              <w:jc w:val="left"/>
            </w:pPr>
            <w:r>
              <w:t xml:space="preserve">More than 20:</w:t>
            </w:r>
          </w:p>
        </w:tc>
        <w:tc>
          <w:tcPr>
            <w:tcW w:w="3110" w:type="dxa"/>
          </w:tcPr>
          <w:p>
            <w:pPr>
              <w:jc w:val="right"/>
            </w:pPr>
            <w:r>
              <w:t xml:space="preserve">.45</w:t>
            </w:r>
          </w:p>
        </w:tc>
        <w:tc>
          <w:tcPr>
            <w:tcW w:w="490" w:type="dxa"/>
          </w:tcPr>
          <w:p>
            <w:pPr>
              <w:jc w:val="right"/>
            </w:pPr>
            <w:r>
              <w:t xml:space="preserve">.35</w:t>
            </w:r>
          </w:p>
        </w:tc>
        <w:tc>
          <w:tcPr>
            <w:tcW w:w="490" w:type="dxa"/>
          </w:tcPr>
          <w:p>
            <w:pPr>
              <w:jc w:val="right"/>
            </w:pPr>
            <w:r>
              <w:t xml:space="preserve">.35</w:t>
            </w:r>
          </w:p>
        </w:tc>
      </w:tr>
    </w:tbl>
    <w:p>
      <w:pPr>
        <w:jc w:val="both"/>
        <w:spacing w:before="100" w:after="0"/>
        <w:ind w:start="1080"/>
      </w:pPr>
      <w:r>
        <w:rPr/>
        <w:t>(</w:t>
        <w:t>2</w:t>
        <w:t xml:space="preserve">)  </w:t>
      </w:r>
      <w:r>
        <w:rPr/>
      </w:r>
      <w:r>
        <w:t xml:space="preserve">For annuities and guaranteed interest contracts valued on a change in fund basis, the factors shown in subparagraph (1)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.15</w:t>
            </w:r>
          </w:p>
        </w:tc>
        <w:tc>
          <w:tcPr>
            <w:tcW w:w="490" w:type="dxa"/>
          </w:tcPr>
          <w:p>
            <w:pPr>
              <w:jc w:val="left"/>
            </w:pPr>
            <w:r>
              <w:t xml:space="preserve">.25</w:t>
            </w:r>
          </w:p>
        </w:tc>
        <w:tc>
          <w:tcPr>
            <w:tcW w:w="547" w:type="dxa"/>
          </w:tcPr>
          <w:p>
            <w:pPr>
              <w:jc w:val="left"/>
            </w:pPr>
            <w:r>
              <w:t xml:space="preserve">.05;</w:t>
            </w:r>
          </w:p>
        </w:tc>
      </w:tr>
    </w:tbl>
    <w:p>
      <w:pPr>
        <w:jc w:val="both"/>
        <w:spacing w:before="100" w:after="0"/>
        <w:ind w:start="1080"/>
      </w:pPr>
      <w:r>
        <w:rPr/>
        <w:t>(</w:t>
        <w:t>3</w:t>
        <w:t xml:space="preserve">)  </w:t>
      </w:r>
      <w:r>
        <w:rPr/>
      </w:r>
      <w:r>
        <w:t xml:space="preserve">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12 months beyond the valuation date, the factors shown in subparagraph (1) or derived in subparagraph (2)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.05</w:t>
            </w:r>
          </w:p>
        </w:tc>
        <w:tc>
          <w:tcPr>
            <w:tcW w:w="490" w:type="dxa"/>
          </w:tcPr>
          <w:p>
            <w:pPr>
              <w:jc w:val="right"/>
            </w:pPr>
            <w:r>
              <w:t xml:space="preserve">.05</w:t>
            </w:r>
          </w:p>
        </w:tc>
        <w:tc>
          <w:tcPr>
            <w:tcW w:w="547" w:type="dxa"/>
          </w:tcPr>
          <w:p>
            <w:pPr>
              <w:jc w:val="right"/>
            </w:pPr>
            <w:r>
              <w:t xml:space="preserve">.05;</w:t>
            </w:r>
          </w:p>
        </w:tc>
      </w:tr>
    </w:tbl>
    <w:p>
      <w:pPr>
        <w:jc w:val="both"/>
        <w:spacing w:before="100" w:after="0"/>
        <w:ind w:start="1080"/>
      </w:pPr>
      <w:r>
        <w:rPr/>
        <w:t>(</w:t>
        <w:t>4</w:t>
        <w:t xml:space="preserve">)  </w:t>
      </w:r>
      <w:r>
        <w:rPr/>
      </w:r>
      <w:r>
        <w:t xml:space="preserve">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20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jc w:val="both"/>
        <w:spacing w:before="100" w:after="0"/>
        <w:ind w:start="1080"/>
      </w:pPr>
      <w:r>
        <w:rPr/>
        <w:t>(</w:t>
        <w:t>5</w:t>
        <w:t xml:space="preserve">)  </w:t>
      </w:r>
      <w:r>
        <w:rPr/>
      </w:r>
      <w:r>
        <w:t xml:space="preserve">Plan type as used in the subparagraphs (1), (2) and (3) tables is defined as follows.</w:t>
      </w:r>
    </w:p>
    <w:p>
      <w:pPr>
        <w:jc w:val="both"/>
        <w:spacing w:before="100" w:after="0"/>
        <w:ind w:start="1440"/>
      </w:pPr>
      <w:r>
        <w:rPr/>
        <w:t>(</w:t>
        <w:t>a</w:t>
        <w:t xml:space="preserve">)  </w:t>
      </w:r>
      <w:r>
        <w:rPr/>
      </w:r>
      <w:r>
        <w:t xml:space="preserve">Plan Type A.  At any time policyholder may withdraw funds, only: With an adjustment to reflect changes in interest rates or asset values since receipt of the funds by the insurance company; without that adjustment, but in installments over 5 years or more; as an immediate life annuity; or no withdrawal permitted.</w:t>
      </w:r>
    </w:p>
    <w:p>
      <w:pPr>
        <w:jc w:val="both"/>
        <w:spacing w:before="100" w:after="0"/>
        <w:ind w:start="1440"/>
      </w:pPr>
      <w:r>
        <w:rPr/>
        <w:t>(</w:t>
        <w:t>b</w:t>
        <w:t xml:space="preserve">)  </w:t>
      </w:r>
      <w:r>
        <w:rPr/>
      </w:r>
      <w:r>
        <w:t xml:space="preserve">Plan Type B.  Before expiration of the interest rate guarantee, policyholder may withdraw funds, only:  With an adjustment to reflect changes in interest rates or asset values since receipt of the funds by the insurance company; without that adjustment, but in installments over 5 years or more; or no withdrawal permitted.  At the end of interest rate guarantee, funds may be withdrawn without that adjustment in a single sum or installments over less than 5 years.</w:t>
      </w:r>
    </w:p>
    <w:p>
      <w:pPr>
        <w:jc w:val="both"/>
        <w:spacing w:before="100" w:after="0"/>
        <w:ind w:start="1440"/>
      </w:pPr>
      <w:r>
        <w:rPr/>
        <w:t>(</w:t>
        <w:t>c</w:t>
        <w:t xml:space="preserve">)  </w:t>
      </w:r>
      <w:r>
        <w:rPr/>
      </w:r>
      <w:r>
        <w:t xml:space="preserve">Plan Type C.  Policyholder may withdraw funds before expiration of interest rate guarantee in a single sum or installments over less than 5 years, either: Without adjustment to reflect changes in interest rates or asset values since receipt of the funds by the insurance company; or subject only to a fixed surrender charge stipulated in the contract as a percentage of the fund; and</w:t>
      </w:r>
    </w:p>
    <w:p>
      <w:pPr>
        <w:jc w:val="both"/>
        <w:spacing w:before="100" w:after="0"/>
        <w:ind w:start="1080"/>
      </w:pPr>
      <w:r>
        <w:rPr/>
        <w:t>(</w:t>
        <w:t>6</w:t>
        <w:t xml:space="preserve">)  </w:t>
      </w:r>
      <w:r>
        <w:rPr/>
      </w:r>
      <w:r>
        <w:t xml:space="preserve">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4</w:t>
        <w:t xml:space="preserve">.  </w:t>
      </w:r>
      <w:r>
        <w:rPr>
          <w:b/>
        </w:rPr>
      </w:r>
      <w:r>
        <w:t xml:space="preserve"> </w:t>
      </w:r>
      <w:r>
        <w:t xml:space="preserve">The reference interest rate referred to in </w:t>
      </w:r>
      <w:r>
        <w:t>subsection 2</w:t>
      </w:r>
      <w:r>
        <w:t xml:space="preserve"> is defined as follows:</w:t>
      </w:r>
    </w:p>
    <w:p>
      <w:pPr>
        <w:jc w:val="both"/>
        <w:spacing w:before="100" w:after="0"/>
        <w:ind w:start="720"/>
      </w:pPr>
      <w:r>
        <w:rPr/>
        <w:t>A</w:t>
        <w:t xml:space="preserve">.  </w:t>
      </w:r>
      <w:r>
        <w:rPr/>
      </w:r>
      <w:r>
        <w:t xml:space="preserve">For all life insurance, the lesser of the average over a period of 36 months and the average over a period of 12 months, ending on June 30th of the calendar year next preceding the year of issue,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guaranteed interest contracts with cash settlement options, the average over a period of 12 months, ending on June 30th of the calendar year of issue or year of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in excess of 10 years, the lesser of the average over a period of 36 months and the average over a period of 12 months, ending on June 30th of the calendar year of issue or purchase, of Moody's Corporate Bond Yield Average-Monthly Average Corporates,as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of 10 years or less, the average over a period of 12 months, ending on June 30th of the calendar year of issue or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no cash settlement options and for guaranteed interest contracts with no cash settlement options, the average over a period of 12 months, ending on June 30th of the calendar year of issue or purchase, of Moody's Corporate Bond Yield Average-Monthly Average Corporates, as published by Moody's Investors Service, Inc.;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F</w:t>
        <w:t xml:space="preserve">.  </w:t>
      </w:r>
      <w:r>
        <w:rPr/>
      </w:r>
      <w:r>
        <w:t xml:space="preserve">For other annuities with cash settlement options and guaranteed interest contracts with cash settlement options, valued on a change in fund basis, except as stated in </w:t>
      </w:r>
      <w:r>
        <w:t>paragraph B</w:t>
      </w:r>
      <w:r>
        <w:t xml:space="preserve">, the average over a period of 12 months, ending on June 30th of the calendar year of the change in the fund,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0"/>
        <w:ind w:start="360"/>
        <w:ind w:firstLine="360"/>
      </w:pPr>
      <w:r>
        <w:rPr>
          <w:b/>
        </w:rPr>
        <w:t>5</w:t>
        <w:t xml:space="preserve">.  </w:t>
      </w:r>
      <w:r>
        <w:rPr>
          <w:b/>
        </w:rPr>
      </w:r>
      <w:r>
        <w:t xml:space="preserve"> </w:t>
      </w:r>
      <w:r>
        <w:t xml:space="preserve">In the event that Moody's Corporate Bond Yield Average-Monthly Average Corporates is no longer published by Moody's Investors Service, Inc., or in the event that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superintendent,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§953-A. Applicable interest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Applicable interest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§953-A. APPLICABLE INTEREST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