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2321-B</w:t>
        <w:t xml:space="preserve">.  </w:t>
      </w:r>
      <w:r>
        <w:rPr>
          <w:b/>
        </w:rPr>
        <w:t xml:space="preserve">Appropriate level of subscriber reserves</w:t>
      </w:r>
    </w:p>
    <w:p>
      <w:pPr>
        <w:jc w:val="both"/>
        <w:spacing w:before="100" w:after="100"/>
        <w:ind w:start="360"/>
        <w:ind w:firstLine="360"/>
      </w:pPr>
      <w:r>
        <w:rPr/>
      </w:r>
      <w:r>
        <w:rPr/>
      </w:r>
      <w:r>
        <w:t xml:space="preserve">The superintendent may adopt rules establishing the appropriate level of subscriber reserves.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344,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§2321-B. Appropriate level of subscriber reserves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§2321-B. Appropriate level of subscriber reserves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§2321-B. APPROPRIATE LEVEL OF SUBSCRIBER RESERVES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