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llateral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llateral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 COLLATERAL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