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w:t>
      </w:r>
    </w:p>
    <w:p>
      <w:pPr>
        <w:jc w:val="center"/>
        <w:ind w:start="360"/>
        <w:spacing w:before="300" w:after="300"/>
      </w:pPr>
      <w:r>
        <w:rPr>
          <w:b/>
        </w:rPr>
        <w:t xml:space="preserve">EXPLOSIVES AND FLAMMABLE LIQUIDS</w:t>
      </w:r>
    </w:p>
    <w:p>
      <w:pPr>
        <w:jc w:val="center"/>
        <w:ind w:start="360"/>
        <w:spacing w:before="300" w:after="300"/>
      </w:pPr>
      <w:r>
        <w:rPr>
          <w:b/>
        </w:rPr>
        <w:t>SUBCHAPTER</w:t>
        <w:t xml:space="preserve"> </w:t>
        <w:t>1</w:t>
      </w:r>
    </w:p>
    <w:p>
      <w:pPr>
        <w:jc w:val="center"/>
        <w:ind w:start="360"/>
        <w:spacing w:before="300" w:after="300"/>
      </w:pPr>
      <w:r>
        <w:rPr>
          <w:b/>
        </w:rPr>
        <w:t xml:space="preserve">EXPLOSIVES</w:t>
      </w:r>
    </w:p>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center"/>
        <w:ind w:start="360"/>
        <w:spacing w:before="300" w:after="300"/>
      </w:pPr>
      <w:r>
        <w:rPr>
          <w:b/>
        </w:rPr>
        <w:t>SUBCHAPTER</w:t>
        <w:t xml:space="preserve"> </w:t>
        <w:t>2</w:t>
      </w:r>
    </w:p>
    <w:p>
      <w:pPr>
        <w:jc w:val="center"/>
        <w:ind w:start="360"/>
        <w:spacing w:before="300" w:after="300"/>
      </w:pPr>
      <w:r>
        <w:rPr>
          <w:b/>
        </w:rPr>
        <w:t xml:space="preserve">FLAMMABLE LIQUIDS</w:t>
      </w:r>
    </w:p>
    <w:p>
      <w:pPr>
        <w:jc w:val="both"/>
        <w:spacing w:before="100" w:after="100"/>
        <w:ind w:start="1080" w:hanging="720"/>
      </w:pPr>
      <w:r>
        <w:rPr>
          <w:b/>
        </w:rPr>
        <w:t>§</w:t>
        <w:t>2481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Aboveground flammable liquid storage facility.</w:t>
        <w:t xml:space="preserve"> </w:t>
      </w:r>
      <w:r>
        <w:t xml:space="preserve"> </w:t>
      </w:r>
      <w:r>
        <w:t xml:space="preserve">"Aboveground flammable liquid storage facility" means any aboveground storage tank or tanks containing flammable liquids, together with associated piping, transfer and dispensing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Flammable liquid.</w:t>
        <w:t xml:space="preserve"> </w:t>
      </w:r>
      <w:r>
        <w:t xml:space="preserve"> </w:t>
      </w:r>
      <w:r>
        <w:t xml:space="preserve">"Flammable liquid" means either a combustible liquid having a flash point at or above 100° Fahrenheit or any volatile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Permit.</w:t>
        <w:t xml:space="preserve"> </w:t>
      </w:r>
      <w:r>
        <w:t xml:space="preserve"> </w:t>
      </w:r>
      <w:r>
        <w:t xml:space="preserve">"Permit" means the nontransferable permission granted by the commissioner for a person to install, construct or otherwise establish an aboveground flammable liquid storage facility or a retail motor fuel facility dispensing flammable liquids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combination of individuals, partnership, corporation or any other legal entity and any nonfederal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§1 (AMD). </w:t>
      </w:r>
    </w:p>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318. EXPLOSIVES AND FLAMMABLE LIQUIDS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 EXPLOSIVES AND FLAMMABLE LIQUIDS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318. EXPLOSIVES AND FLAMMABLE LIQUIDS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