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Violations</w:t>
      </w:r>
    </w:p>
    <w:p>
      <w:pPr>
        <w:jc w:val="both"/>
        <w:spacing w:before="100" w:after="100"/>
        <w:ind w:start="360"/>
        <w:ind w:firstLine="360"/>
      </w:pPr>
      <w:r>
        <w:rPr/>
      </w:r>
      <w:r>
        <w:rPr/>
      </w:r>
      <w:r>
        <w:t xml:space="preserve">Any person who fails to comply with the provisions of </w:t>
      </w:r>
      <w:r>
        <w:t>section 1542‑A, subsection 1</w:t>
      </w:r>
      <w:r>
        <w:t xml:space="preserve"> or </w:t>
      </w:r>
      <w:r>
        <w:t>3</w:t>
      </w:r>
      <w:r>
        <w:t xml:space="preserve">, or with the provisions of </w:t>
      </w:r>
      <w:r>
        <w:t>section 1542‑A, subsection 4</w:t>
      </w:r>
      <w:r>
        <w:t xml:space="preserve">, imposing a duty to transmit criminal fingerprint records to the State Bureau of Identification, or with the provisions of </w:t>
      </w:r>
      <w:r>
        <w:t>sections 1544</w:t>
      </w:r>
      <w:r>
        <w:t xml:space="preserve">, </w:t>
      </w:r>
      <w:r>
        <w:t>1547</w:t>
      </w:r>
      <w:r>
        <w:t xml:space="preserve"> or </w:t>
      </w:r>
      <w:r>
        <w:t>1549</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§10 (NEW). PL 2003, c. 510,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§1550.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