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§2391. ELECTION OF FIRE WARD; DUTIES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