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§2394. INVESTIGATION OF FIRE ORIGIN; ATTORNEY GENERAL MAY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