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§2473. Permits;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Permits;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§2473. PERMITS;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