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Temporary enforce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emporary enforce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3. TEMPORARY ENFORCE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