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WORKFORCE INVESTMENT SYSTEM</w:t>
      </w:r>
    </w:p>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MAINE WORKFORCE INVESTMENT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WORKFORCE INVESTMENT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33. MAINE WORKFORCE INVESTMENT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