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FEDERAL WORKFORCE INNOVATION AND OPPORTUNITY ACT</w:t>
      </w:r>
    </w:p>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FEDERAL WORKFORCE INNOVATION AND OPPORTUNITY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FEDERAL WORKFORCE INNOVATION AND OPPORTUNITY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35. FEDERAL WORKFORCE INNOVATION AND OPPORTUNITY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