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RR 2023, c. 2, Pt. E,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