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Separability</w:t>
      </w:r>
    </w:p>
    <w:p>
      <w:pPr>
        <w:jc w:val="both"/>
        <w:spacing w:before="100" w:after="0"/>
        <w:ind w:start="360"/>
        <w:ind w:firstLine="360"/>
      </w:pPr>
      <w:r>
        <w:rPr>
          <w:b/>
        </w:rPr>
        <w:t>1</w:t>
        <w:t xml:space="preserve">.  </w:t>
      </w:r>
      <w:r>
        <w:rPr>
          <w:b/>
        </w:rPr>
        <w:t xml:space="preserve">Severability.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No restriction on eligibility for federal grant-in-aid or assistance programs.</w:t>
        <w:t xml:space="preserve"> </w:t>
      </w:r>
      <w:r>
        <w:t xml:space="preserve"> </w:t>
      </w:r>
      <w:r>
        <w:t xml:space="preserve">Nothing in this chapter or any contract negotiated pursuant to this chapter may in any way be interpreted or allowed to restrict or impair the eligibility of the university, any of its campuses or units, academy or community colleges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§27 (AMD). PL 1977, c. 581, §20 (AMD). PL 1985, c. 497, §19 (AMD). PL 1985, c. 506, §B34 (AMD). PL 1989, c. 443, §77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§1034.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