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the individual's unemployment period subsequent to the individual's having retired; or having been retired from regular employment as a result of a recognized employer policy or program, under which the individual is entitled to receive pension payments, if so found by the deputy, and disqualification continues until the claimant has earned 6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§93 (COR).]</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§93 (COR).]</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the individual was discharged for conviction of a felony or misdemeanor in connection with the individual's work. The ineligibility of the individual continues for all weeks subsequent until the individual has thereafter earned $600 or 8 times the individual's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§94 (COR).]</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RR 2023, c. 2, Pt. E, §§93,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§1193.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§1193.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