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 Appeal of determination 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Appeal of determination 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6. APPEAL OF DETERMINATION 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