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section 1226, the commissioner may, within 3 years thereafter, notify the employer who is liable according to the records of the bureau, specifying the amount due and demanding payment within 12 days after the date the notice is mailed. The notice must inform the employer that if the employer does not make the payment as demanded, the commissioner will certify the amount due for collection by warrant as provided in this section. If the employer does not make payment as demanded within the 12-day period or within an extended period that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according to which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§118 (COR).]</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registry of deeds of any county. From the time of the filing, the amount specified in the warrant constitutes a lien upon all real property and other tangible assets in the county or town owned by the liable employer or acquired by the liable employer during the period of the lien. The lien has the force, effect and priority of a judgment lien and continues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§119 (COR).]</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must be returnable within one year. New warrants may be issued on any such certificate within 2 years from the return day of the last preceding warrant for sums remaining unsatisfied. Warrants must be served by the sheriff of any county, or by any of the sheriff's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[RR 2023, c. 2, Pt. E, §120 (COR).]</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RR 2023, c. 2, Pt. E, §§118-120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 Collection by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Collection by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§1230. COLLECTION BY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